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1. Adı Soyadı: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229B4">
        <w:rPr>
          <w:rFonts w:ascii="Times New Roman" w:hAnsi="Times New Roman" w:cs="Times New Roman"/>
          <w:b/>
          <w:bCs/>
        </w:rPr>
        <w:t>Tuğba GÖNEN</w:t>
      </w:r>
    </w:p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2. Unvanı: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ab/>
        <w:t>Araştırma Görevlisi</w:t>
      </w:r>
    </w:p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3. Öğrenim Durumu: 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ab/>
        <w:t>Yüksek Lisans Mezunu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39"/>
        <w:gridCol w:w="3139"/>
        <w:gridCol w:w="1303"/>
      </w:tblGrid>
      <w:tr w:rsidR="0080560A" w:rsidRPr="00B229B4" w:rsidTr="008B3D4C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323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80560A" w:rsidRPr="00B229B4" w:rsidTr="008B3D4C">
        <w:tc>
          <w:tcPr>
            <w:tcW w:w="16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Lisans </w:t>
            </w:r>
          </w:p>
        </w:tc>
        <w:tc>
          <w:tcPr>
            <w:tcW w:w="32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</w:t>
            </w:r>
          </w:p>
        </w:tc>
        <w:tc>
          <w:tcPr>
            <w:tcW w:w="31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13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>2011-2015</w:t>
            </w:r>
          </w:p>
        </w:tc>
      </w:tr>
      <w:tr w:rsidR="0080560A" w:rsidRPr="00B229B4" w:rsidTr="008B3D4C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Y. Lisans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 ve Rehabilitasyon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2015-2018</w:t>
            </w:r>
          </w:p>
        </w:tc>
      </w:tr>
      <w:tr w:rsidR="0080560A" w:rsidRPr="00B229B4" w:rsidTr="008B3D4C"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Doktora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Hasan Kalyoncu Üniversitesi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2018- devam </w:t>
            </w:r>
          </w:p>
        </w:tc>
      </w:tr>
    </w:tbl>
    <w:p w:rsidR="0080560A" w:rsidRPr="00B229B4" w:rsidRDefault="0080560A" w:rsidP="0080560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4. Akademik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Ünvanlar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 xml:space="preserve">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260"/>
        <w:gridCol w:w="3118"/>
        <w:gridCol w:w="1276"/>
      </w:tblGrid>
      <w:tr w:rsidR="0080560A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Unvan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Alan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Yıl </w:t>
            </w:r>
          </w:p>
        </w:tc>
      </w:tr>
      <w:tr w:rsidR="0080560A" w:rsidRPr="00B229B4" w:rsidTr="008B3D4C">
        <w:trPr>
          <w:cantSplit/>
          <w:jc w:val="center"/>
        </w:trPr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 Görevlisi</w:t>
            </w: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Fizyoterapi ve Rehabilitasyon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Hasan Kalyoncu Üniversitesi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color w:val="333333"/>
                <w:spacing w:val="2"/>
                <w:sz w:val="18"/>
                <w:szCs w:val="18"/>
              </w:rPr>
              <w:t>2017</w:t>
            </w:r>
          </w:p>
        </w:tc>
      </w:tr>
    </w:tbl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5. Kurumdaki Hizmet Süresi: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909"/>
        <w:gridCol w:w="2469"/>
        <w:gridCol w:w="1276"/>
      </w:tblGrid>
      <w:tr w:rsidR="0080560A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Terfi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Tarihleri </w:t>
            </w:r>
          </w:p>
        </w:tc>
      </w:tr>
      <w:tr w:rsidR="0080560A" w:rsidRPr="00B229B4" w:rsidTr="008B3D4C">
        <w:trPr>
          <w:cantSplit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Kalyoncu </w:t>
            </w:r>
            <w:r w:rsidRPr="00B229B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Üniversitesi</w:t>
            </w: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560A" w:rsidRPr="00B229B4" w:rsidRDefault="0080560A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Sağlık Bilimleri Fakültesi </w:t>
            </w:r>
            <w:r w:rsidRPr="00B229B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Fizyoterapi ve Rehabilitasyon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Nisan 2017</w:t>
            </w:r>
          </w:p>
        </w:tc>
      </w:tr>
    </w:tbl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6. Diğer İş Deneyimi (Eğitim, Sanayi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vb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):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3909"/>
        <w:gridCol w:w="2469"/>
        <w:gridCol w:w="1276"/>
      </w:tblGrid>
      <w:tr w:rsidR="0080560A" w:rsidRPr="00B229B4" w:rsidTr="008B3D4C">
        <w:trPr>
          <w:cantSplit/>
          <w:trHeight w:val="382"/>
          <w:jc w:val="center"/>
        </w:trPr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İlk Atama Tarihi</w:t>
            </w:r>
          </w:p>
        </w:tc>
        <w:tc>
          <w:tcPr>
            <w:tcW w:w="39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pStyle w:val="Balk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Terfi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</w:p>
        </w:tc>
      </w:tr>
      <w:tr w:rsidR="0080560A" w:rsidRPr="00B229B4" w:rsidTr="008B3D4C">
        <w:trPr>
          <w:cantSplit/>
          <w:trHeight w:val="405"/>
          <w:jc w:val="center"/>
        </w:trPr>
        <w:tc>
          <w:tcPr>
            <w:tcW w:w="160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3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Yeşeren Umutlar Özel Eğitim ve Rehabilitasyon Merkezi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2015-2017</w:t>
            </w:r>
          </w:p>
        </w:tc>
      </w:tr>
    </w:tbl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7. </w:t>
      </w:r>
      <w:r w:rsidRPr="00193FC6">
        <w:rPr>
          <w:rFonts w:ascii="Times New Roman" w:hAnsi="Times New Roman" w:cs="Times New Roman"/>
          <w:b/>
          <w:sz w:val="18"/>
          <w:szCs w:val="18"/>
        </w:rPr>
        <w:t>Yürütülen Eğitim Faaliyetleri/Asiste Edilen 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868"/>
        <w:gridCol w:w="3402"/>
        <w:gridCol w:w="1035"/>
        <w:gridCol w:w="1270"/>
      </w:tblGrid>
      <w:tr w:rsidR="0080560A" w:rsidRPr="00B229B4" w:rsidTr="008B3D4C">
        <w:trPr>
          <w:cantSplit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Akademik Yıl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Dönem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Dersin Adı 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Haftalık Saati </w:t>
            </w:r>
          </w:p>
        </w:tc>
      </w:tr>
      <w:tr w:rsidR="0080560A" w:rsidRPr="00B229B4" w:rsidTr="008B3D4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 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B229B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2018-2019</w:t>
            </w: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HASAN KALYONCU ÜNİVERSİTESİ</w:t>
            </w: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Rehabilitasyonda Etik Prensipler ve Terminoloji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Nörofizyolojik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Yaklaşımlar I 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Bahar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Engellilerde Fiziksel Aktivite ve Spor II 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Temel Hareket Analizi 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Ortopedik Rehabilitasyon 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Ortopedik Rehabilitasyonda Özel Egzersizler 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2019-2020</w:t>
            </w: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HASAN KALYONCU ÜNİVERSİTESİ </w:t>
            </w:r>
          </w:p>
        </w:tc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Güz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  <w:trHeight w:val="314"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Rehabilitasyonda Etik Prensipler ve Terminoloji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  <w:trHeight w:val="350"/>
        </w:trPr>
        <w:tc>
          <w:tcPr>
            <w:tcW w:w="16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Nörofizyolojik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Yaklaşımlar I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0560A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Bahar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II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  <w:trHeight w:val="393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Ortopedik Rehabilitasyon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0560A" w:rsidRPr="00B229B4" w:rsidTr="008B3D4C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Ortopedik Rehabilitasyonda Özel Egzersizler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2020-2021 </w:t>
            </w: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HASAN KALYONCU ÜNİVERSİTESİ</w:t>
            </w: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Güz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Engellilerde Fiziksel Aktivite ve Spor I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Rehabilitasyonda Etik Prensipler ve Terminoloji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Nörofizyolojik</w:t>
            </w:r>
            <w:proofErr w:type="spellEnd"/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Yaklaşımlar 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0560A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Kronik Hastalık Yönetimi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Bahar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 xml:space="preserve">Engellilerde Fiziksel Aktivite ve Spor II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0560A" w:rsidRPr="00B229B4" w:rsidTr="008B3D4C">
        <w:trPr>
          <w:cantSplit/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Ortopedik Rehabilitasyon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80560A" w:rsidRPr="00B229B4" w:rsidTr="008B3D4C">
        <w:trPr>
          <w:cantSplit/>
          <w:trHeight w:val="1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60A" w:rsidRPr="00B229B4" w:rsidRDefault="0080560A" w:rsidP="008B3D4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Ortopedik Rehabilitasyonda Özel Egzersizler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560A" w:rsidRPr="00B229B4" w:rsidRDefault="0080560A" w:rsidP="008B3D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9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0560A" w:rsidRPr="00B229B4" w:rsidRDefault="0080560A" w:rsidP="0080560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0560A" w:rsidRPr="00B229B4" w:rsidRDefault="0080560A" w:rsidP="0080560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8. Danışmalıklar ve Patentler:</w:t>
      </w:r>
    </w:p>
    <w:p w:rsidR="0080560A" w:rsidRPr="00B229B4" w:rsidRDefault="0080560A" w:rsidP="0080560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 xml:space="preserve">9. Yayınlar: </w:t>
      </w:r>
    </w:p>
    <w:p w:rsidR="0080560A" w:rsidRPr="00B229B4" w:rsidRDefault="0080560A" w:rsidP="0080560A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9.1. Uluslararası Hakemli Dergilerde Yayınlanan Makaleler (SCI, SSCI,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Arts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Humanities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0560A" w:rsidRPr="00B229B4" w:rsidRDefault="0080560A" w:rsidP="0080560A">
      <w:pPr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1. Kocamaz D,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Atasavun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Uysal S, Dinler E, Badat T, Turhan B, Yakut Y.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Repeated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Movements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Motion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Perception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Motor Learning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Upper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Extremity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at Dominant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Dominant Side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Healthy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Individuals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Bezmialem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Science.2020. (ESCI) 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Doi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: 10.14235/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bas.galenos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.2020.3620</w:t>
      </w:r>
    </w:p>
    <w:p w:rsidR="0080560A" w:rsidRPr="00B229B4" w:rsidRDefault="0080560A" w:rsidP="0080560A">
      <w:pPr>
        <w:rPr>
          <w:rFonts w:ascii="Times New Roman" w:hAnsi="Times New Roman" w:cs="Times New Roman"/>
          <w:sz w:val="18"/>
          <w:szCs w:val="18"/>
        </w:rPr>
      </w:pPr>
    </w:p>
    <w:p w:rsidR="0080560A" w:rsidRPr="00B229B4" w:rsidRDefault="0080560A" w:rsidP="0080560A">
      <w:pPr>
        <w:pStyle w:val="stbilgi"/>
        <w:jc w:val="both"/>
        <w:rPr>
          <w:sz w:val="18"/>
          <w:szCs w:val="18"/>
        </w:rPr>
      </w:pPr>
      <w:r w:rsidRPr="00B229B4">
        <w:rPr>
          <w:b/>
          <w:sz w:val="18"/>
          <w:szCs w:val="18"/>
        </w:rPr>
        <w:t>2</w:t>
      </w:r>
      <w:r w:rsidRPr="00B229B4">
        <w:rPr>
          <w:sz w:val="18"/>
          <w:szCs w:val="18"/>
        </w:rPr>
        <w:t>. Dinler Elif, Kocamaz Deniz, Badat Tuğba, Bayramlar Kezban, Yakut Yavuz Öz Değerlendirme Raporu Hazırlık Süreci: Hasan Kalyoncu Üniversitesi Fizyoterapi ve Rehabilitasyon Bölümü Örneği, H.Ü. Sağlık Bilimleri Fakültesi Dergisi Cilt:7, Sayı:2, 2020</w:t>
      </w:r>
    </w:p>
    <w:p w:rsidR="0080560A" w:rsidRPr="00B229B4" w:rsidRDefault="0080560A" w:rsidP="0080560A">
      <w:pPr>
        <w:pStyle w:val="stbilgi"/>
        <w:jc w:val="both"/>
        <w:rPr>
          <w:sz w:val="18"/>
          <w:szCs w:val="18"/>
        </w:rPr>
      </w:pPr>
    </w:p>
    <w:p w:rsidR="0080560A" w:rsidRPr="00B229B4" w:rsidRDefault="0080560A" w:rsidP="0080560A">
      <w:pPr>
        <w:pStyle w:val="stbilgi"/>
        <w:jc w:val="both"/>
        <w:rPr>
          <w:sz w:val="18"/>
          <w:szCs w:val="18"/>
        </w:rPr>
      </w:pPr>
      <w:r w:rsidRPr="00B229B4">
        <w:rPr>
          <w:b/>
          <w:sz w:val="18"/>
          <w:szCs w:val="18"/>
        </w:rPr>
        <w:t>3</w:t>
      </w:r>
      <w:r w:rsidRPr="00B229B4">
        <w:rPr>
          <w:sz w:val="18"/>
          <w:szCs w:val="18"/>
        </w:rPr>
        <w:t xml:space="preserve">. Tuğba Badat, Günseli </w:t>
      </w:r>
      <w:proofErr w:type="spellStart"/>
      <w:r w:rsidRPr="00B229B4">
        <w:rPr>
          <w:sz w:val="18"/>
          <w:szCs w:val="18"/>
        </w:rPr>
        <w:t>Usgu</w:t>
      </w:r>
      <w:proofErr w:type="spellEnd"/>
      <w:r w:rsidRPr="00B229B4">
        <w:rPr>
          <w:sz w:val="18"/>
          <w:szCs w:val="18"/>
        </w:rPr>
        <w:t>, Elif Dinler, Kezban Bayramlar, Yavuz Yakut,  Çoktan Seçmeli Sınavlarda Kullanılan Ölçme ve Değerlendirme Sisteminin Uygulanması: Madde Analiz Örneği H.Ü. Sağlık Bilimleri Fakültesi Dergisi Cilt:7, Sayı:2, 2020</w:t>
      </w:r>
    </w:p>
    <w:p w:rsidR="0080560A" w:rsidRPr="00B229B4" w:rsidRDefault="0080560A" w:rsidP="008056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560A" w:rsidRPr="00B229B4" w:rsidRDefault="0080560A" w:rsidP="0080560A">
      <w:pPr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4</w:t>
      </w:r>
      <w:r w:rsidRPr="00B229B4">
        <w:rPr>
          <w:rFonts w:ascii="Times New Roman" w:hAnsi="Times New Roman" w:cs="Times New Roman"/>
          <w:sz w:val="18"/>
          <w:szCs w:val="18"/>
        </w:rPr>
        <w:t>. DİNLER, E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BADAT, T., KOCAMAZ, D., &amp;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amp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; YAKUT, Y. Evaluation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Activity,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Depression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Life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Satisfaction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During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COVID-19. International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Disabilities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Sports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Sciences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 3(2), 128- 139. DOI:10.33438/ijdshs.770346</w:t>
      </w:r>
    </w:p>
    <w:p w:rsidR="0080560A" w:rsidRPr="00B229B4" w:rsidRDefault="0080560A" w:rsidP="0080560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560A" w:rsidRPr="00B229B4" w:rsidRDefault="0080560A" w:rsidP="0080560A">
      <w:pPr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5</w:t>
      </w:r>
      <w:r w:rsidRPr="00B229B4">
        <w:rPr>
          <w:rFonts w:ascii="Times New Roman" w:hAnsi="Times New Roman" w:cs="Times New Roman"/>
          <w:sz w:val="18"/>
          <w:szCs w:val="18"/>
        </w:rPr>
        <w:t>. Tuncer, A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Maden, T., Badat, T., &amp; Kocamaz, D. (2020).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5x5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life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university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who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smartphones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during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long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periods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 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Physical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students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 24(5), 271-277.</w:t>
      </w:r>
    </w:p>
    <w:p w:rsidR="0080560A" w:rsidRPr="00B229B4" w:rsidRDefault="0080560A" w:rsidP="0080560A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9.2. Uluslararası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Diğer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Hakemli Dergilerde Yayınlanan Makaleler </w:t>
      </w:r>
    </w:p>
    <w:p w:rsidR="0080560A" w:rsidRPr="00B229B4" w:rsidRDefault="0080560A" w:rsidP="0080560A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9.3. Uluslararası Bilimsel Toplantılarda Sunulan ve Bildiri Kitabında Basılan Bildiriler </w:t>
      </w:r>
    </w:p>
    <w:p w:rsidR="0080560A" w:rsidRPr="00B229B4" w:rsidRDefault="0080560A" w:rsidP="0080560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229B4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Badat T</w:t>
      </w:r>
      <w:r w:rsidRPr="00B229B4"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B229B4">
        <w:rPr>
          <w:rFonts w:ascii="Times New Roman" w:eastAsia="Calibri" w:hAnsi="Times New Roman" w:cs="Times New Roman"/>
          <w:color w:val="000000"/>
          <w:sz w:val="18"/>
          <w:szCs w:val="18"/>
          <w:u w:color="000000"/>
        </w:rPr>
        <w:t xml:space="preserve"> Maden T, Kocamaz D, </w:t>
      </w:r>
      <w:r w:rsidRPr="00B229B4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Tuncer A</w:t>
      </w:r>
      <w:r w:rsidRPr="00B229B4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.</w:t>
      </w:r>
      <w:r w:rsidRPr="00B229B4">
        <w:rPr>
          <w:rFonts w:ascii="Times New Roman" w:eastAsia="Calibri" w:hAnsi="Times New Roman" w:cs="Times New Roman"/>
          <w:color w:val="000000"/>
          <w:sz w:val="18"/>
          <w:szCs w:val="18"/>
          <w:u w:color="000000"/>
        </w:rPr>
        <w:t xml:space="preserve"> </w:t>
      </w:r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Üniversite Öğrencilerinde Akıllı Telefon Bağımlılık Düzeyleri ile Yorgunluk, Uyku ve Yaşam Kalitesi Arasındaki İlişkinin İncelenmesi. </w:t>
      </w:r>
      <w:r w:rsidRPr="00B229B4">
        <w:rPr>
          <w:rFonts w:ascii="Times New Roman" w:hAnsi="Times New Roman" w:cs="Times New Roman"/>
          <w:i/>
          <w:sz w:val="18"/>
          <w:szCs w:val="18"/>
        </w:rPr>
        <w:t xml:space="preserve">6. Uluslararası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Multidisiplinler</w:t>
      </w:r>
      <w:proofErr w:type="spellEnd"/>
      <w:r w:rsidRPr="00B229B4">
        <w:rPr>
          <w:rFonts w:ascii="Times New Roman" w:hAnsi="Times New Roman" w:cs="Times New Roman"/>
          <w:i/>
          <w:sz w:val="18"/>
          <w:szCs w:val="18"/>
        </w:rPr>
        <w:t xml:space="preserve"> Çalışmaları Kongresi.</w:t>
      </w:r>
      <w:r w:rsidRPr="00B229B4">
        <w:rPr>
          <w:rFonts w:ascii="Times New Roman" w:hAnsi="Times New Roman" w:cs="Times New Roman"/>
          <w:sz w:val="18"/>
          <w:szCs w:val="18"/>
        </w:rPr>
        <w:t xml:space="preserve"> Gaziantep, Nisan 26-27, 2019</w:t>
      </w:r>
      <w:r w:rsidRPr="00B229B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80560A" w:rsidRPr="00B229B4" w:rsidRDefault="0080560A" w:rsidP="0080560A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229B4">
        <w:rPr>
          <w:rFonts w:ascii="Times New Roman" w:eastAsia="Calibri" w:hAnsi="Times New Roman" w:cs="Times New Roman"/>
          <w:sz w:val="18"/>
          <w:szCs w:val="18"/>
        </w:rPr>
        <w:t>Yakut, Y</w:t>
      </w:r>
      <w:proofErr w:type="gramStart"/>
      <w:r w:rsidRPr="00B229B4">
        <w:rPr>
          <w:rFonts w:ascii="Times New Roman" w:eastAsia="Calibri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Turhan, B., Kocamaz, D., Haznedar, A., Maden, T., Maden, C.,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Dökünlü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E.,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Cinar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, MA.,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Yigit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>, S.,</w:t>
      </w:r>
      <w:r w:rsidRPr="00B229B4">
        <w:rPr>
          <w:rFonts w:ascii="Times New Roman" w:eastAsia="Calibri" w:hAnsi="Times New Roman" w:cs="Times New Roman"/>
          <w:b/>
          <w:sz w:val="18"/>
          <w:szCs w:val="18"/>
        </w:rPr>
        <w:t xml:space="preserve"> Badat, T.</w:t>
      </w:r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, G.,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, S., Yamak, D., Bayramlar, K., Pelin, Z., “School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Screening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Idiopathic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Scoliosis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School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Living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In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Gaziantep: A Preliminary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Study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”, 11th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Hellenic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Spine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Congress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O 03 pp35 2-5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November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 2017, </w:t>
      </w:r>
      <w:proofErr w:type="spellStart"/>
      <w:r w:rsidRPr="00B229B4">
        <w:rPr>
          <w:rFonts w:ascii="Times New Roman" w:eastAsia="Calibri" w:hAnsi="Times New Roman" w:cs="Times New Roman"/>
          <w:sz w:val="18"/>
          <w:szCs w:val="18"/>
        </w:rPr>
        <w:t>Athens</w:t>
      </w:r>
      <w:proofErr w:type="spellEnd"/>
      <w:r w:rsidRPr="00B229B4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80560A" w:rsidRPr="00B229B4" w:rsidRDefault="0080560A" w:rsidP="0080560A">
      <w:pPr>
        <w:ind w:left="644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80560A" w:rsidRPr="00B229B4" w:rsidRDefault="0080560A" w:rsidP="0080560A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9.4. Yazılan Uluslararası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0560A" w:rsidRPr="00B229B4" w:rsidRDefault="0080560A" w:rsidP="0080560A">
      <w:pPr>
        <w:spacing w:before="100" w:beforeAutospacing="1" w:after="100" w:afterAutospacing="1"/>
        <w:ind w:firstLine="360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9.5. Ulusal Hakemli Dergilerde Yayınlanan Makaleler </w:t>
      </w:r>
    </w:p>
    <w:p w:rsidR="0080560A" w:rsidRPr="00B229B4" w:rsidRDefault="0080560A" w:rsidP="0080560A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Kocamaz D, </w:t>
      </w:r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Badat T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Maden T, </w:t>
      </w:r>
      <w:r w:rsidRPr="00B229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Tuncer A.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Üniversite Öğrencilerinde Akıllı Telefon Kullanımının, Uyku Kalitesi ve Depresyon ile İlişkisi</w:t>
      </w:r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. J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Exerc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Ther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Rehabil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. 2021; 7(3): 253-259.</w:t>
      </w:r>
      <w:r w:rsidRPr="00B229B4">
        <w:rPr>
          <w:rFonts w:ascii="Times New Roman" w:hAnsi="Times New Roman" w:cs="Times New Roman"/>
          <w:sz w:val="18"/>
          <w:szCs w:val="18"/>
        </w:rPr>
        <w:t xml:space="preserve"> (ESCI).</w:t>
      </w:r>
    </w:p>
    <w:p w:rsidR="0080560A" w:rsidRPr="00B229B4" w:rsidRDefault="0080560A" w:rsidP="0080560A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9.6. Ulusal Bilimsel Toplantılarda Sunulan ve Bildiri Kitabında Basılan Bildiriler </w:t>
      </w:r>
    </w:p>
    <w:p w:rsidR="0080560A" w:rsidRPr="00B229B4" w:rsidRDefault="0080560A" w:rsidP="0080560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Palizeus-Merzchbacher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Hastalığında Fizyoterapi Ve Rehabilitasyon: Olgu Sunumu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Begümhan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Turhan, İbrahim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Küçükcan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, Tuba Maden, Deniz Kocamaz, Tuğba Badat, Kezban Bayramlar</w:t>
      </w:r>
    </w:p>
    <w:p w:rsidR="0080560A" w:rsidRPr="00B229B4" w:rsidRDefault="0080560A" w:rsidP="0080560A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</w:p>
    <w:p w:rsidR="0080560A" w:rsidRPr="00B229B4" w:rsidRDefault="0080560A" w:rsidP="0080560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Spinal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Müsküler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Atrofi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Tip 1 Ve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Kistik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Fibrozis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: Olgu</w:t>
      </w:r>
      <w:proofErr w:type="gram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Sunumu 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Maden1, Tuğba Badat1 Tuba  Maden1 , Deniz Kocamaz1 Özlem Keskin2 , Dilek Yamak1 , Kezban Bayramlar1 Gaziantep Üniversitesi Tıp Fakültesi Pediatri Anabilim Dalı Hasan Kalyoncu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Üniversitesi,Sağlık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Bilimleri Fakültesi , Gaziantep1</w:t>
      </w:r>
    </w:p>
    <w:p w:rsidR="0080560A" w:rsidRPr="00B229B4" w:rsidRDefault="0080560A" w:rsidP="0080560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0560A" w:rsidRPr="00B229B4" w:rsidRDefault="0080560A" w:rsidP="0080560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Klinikte Çalışan Fizyoterapistlerin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Ortez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Kullanım Amaçlarının İncelenmesi; Ön Çalışma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Tuğba BADAT ¹, Fatih ENZİN², Alper HAZNEDAR¹, Mehmet Ergun KAYIRAN³, Yusuf Şinasi KIRMACI</w:t>
      </w:r>
      <w:r w:rsidRPr="00B229B4">
        <w:rPr>
          <w:rFonts w:ascii="Cambria Math" w:hAnsi="Cambria Math" w:cs="Cambria Math"/>
          <w:sz w:val="18"/>
          <w:szCs w:val="18"/>
          <w:shd w:val="clear" w:color="auto" w:fill="FFFFFF"/>
        </w:rPr>
        <w:t>⁴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Hafiza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GÖZEN</w:t>
      </w:r>
      <w:r w:rsidRPr="00B229B4">
        <w:rPr>
          <w:rFonts w:ascii="Cambria Math" w:hAnsi="Cambria Math" w:cs="Cambria Math"/>
          <w:sz w:val="18"/>
          <w:szCs w:val="18"/>
          <w:shd w:val="clear" w:color="auto" w:fill="FFFFFF"/>
        </w:rPr>
        <w:t>⁵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, Murat Ali ÇINAR¹, Asiye UZUN</w:t>
      </w:r>
      <w:r w:rsidRPr="00B229B4">
        <w:rPr>
          <w:rFonts w:ascii="Cambria Math" w:hAnsi="Cambria Math" w:cs="Cambria Math"/>
          <w:sz w:val="18"/>
          <w:szCs w:val="18"/>
          <w:shd w:val="clear" w:color="auto" w:fill="FFFFFF"/>
        </w:rPr>
        <w:t>⁶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, Ahmet MİÇOOĞULLARI</w:t>
      </w:r>
      <w:r w:rsidRPr="00B229B4">
        <w:rPr>
          <w:rFonts w:ascii="Cambria Math" w:hAnsi="Cambria Math" w:cs="Cambria Math"/>
          <w:sz w:val="18"/>
          <w:szCs w:val="18"/>
          <w:shd w:val="clear" w:color="auto" w:fill="FFFFFF"/>
        </w:rPr>
        <w:t>⁷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, Yavuz YAKUT¹  Hasan Kalyoncu Üniversitesi Sağlık Bilimleri Fakültesi Fizyoterapi ve Rehabilitasyon Bölümü,   Gaziantep</w:t>
      </w:r>
    </w:p>
    <w:p w:rsidR="0080560A" w:rsidRPr="00B229B4" w:rsidRDefault="0080560A" w:rsidP="0080560A">
      <w:pPr>
        <w:pStyle w:val="ListeParagraf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0560A" w:rsidRPr="00B229B4" w:rsidRDefault="0080560A" w:rsidP="0080560A">
      <w:pPr>
        <w:spacing w:after="200" w:line="276" w:lineRule="auto"/>
        <w:contextualSpacing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Sağlıklı bireylerde üst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ekstremite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dominant taraf kullanımı ve hareket algısının değerlendirilmesi: bir pilot çalışma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Deniz KOCAMAZ¹, Yavuz YAKUT¹, Elif DİNLER¹, Tuğba BADAT¹,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Songul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Atasavun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UYSAL Hasan Kalyoncu Üniversitesi, Sağlık Bilimleri Fakültesi, Fizyoterapi ve Rehabilitasyon </w:t>
      </w:r>
      <w:proofErr w:type="spellStart"/>
      <w:proofErr w:type="gram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Bölümü,Gaziantep</w:t>
      </w:r>
      <w:proofErr w:type="spellEnd"/>
      <w:proofErr w:type="gram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Hacettepe üniversitesi, Sağlık Bilimleri Fakültesi, Fizyoterapi ve Rehabilitasyon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Bölümü,Ankara</w:t>
      </w:r>
      <w:proofErr w:type="spellEnd"/>
    </w:p>
    <w:p w:rsidR="0080560A" w:rsidRPr="00B229B4" w:rsidRDefault="0080560A" w:rsidP="0080560A">
      <w:pPr>
        <w:pStyle w:val="ListeParagraf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0560A" w:rsidRPr="00B229B4" w:rsidRDefault="0080560A" w:rsidP="0080560A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Gaziantep İli ve Çevresinde Yaşayan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Adölesan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Öğrencilerde Omurga Eğriliklerinin Taranması 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Yavuz YAKUT¹,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Begümhan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TURHAN¹, Tuğba BADAT¹, Deniz KOCAMAZ¹, Alper HAZNEDAR¹, Tuba MADEN¹, </w:t>
      </w:r>
      <w:proofErr w:type="spellStart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>Çağtay</w:t>
      </w:r>
      <w:proofErr w:type="spellEnd"/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MADEN¹, Elif DÖKÜNLÜ¹, Murat Ali ÇINAR¹, Sedat YİĞİT¹, Günseli USGU¹, Serkan USGU¹, Dilek YAMAK¹, Kezban BAYRAMLAR¹, Zerrin PELİN¹</w:t>
      </w:r>
    </w:p>
    <w:p w:rsidR="0080560A" w:rsidRPr="00B229B4" w:rsidRDefault="0080560A" w:rsidP="0080560A">
      <w:pPr>
        <w:pStyle w:val="ListeParagraf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0560A" w:rsidRPr="00B229B4" w:rsidRDefault="0080560A" w:rsidP="0080560A">
      <w:pPr>
        <w:pStyle w:val="ListeParagraf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0560A" w:rsidRPr="00B229B4" w:rsidRDefault="0080560A" w:rsidP="0080560A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Sağlıklı Kadınlarda Bireysel Egzersiz ve Grup Egzersiz Eğitiminin Fiziksel Performans Üzerine Etkilerinin Karşılaştırılması</w:t>
      </w:r>
      <w:r w:rsidRPr="00B229B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Tuğba BADAT¹, Yavuz YAKUT¹ Hasan Kalyoncu Üniversitesi Sağlık Bilimleri Fakültesi Fizyoterapi ve Rehabilitasyon Bölümü Gaziantep</w:t>
      </w:r>
    </w:p>
    <w:p w:rsidR="0080560A" w:rsidRPr="00B229B4" w:rsidRDefault="0080560A" w:rsidP="0080560A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9.7. Yazılan Ulusal Kitaplar veya Kitaplarda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Bölümler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80560A" w:rsidRPr="00B229B4" w:rsidRDefault="0080560A" w:rsidP="0080560A">
      <w:pPr>
        <w:spacing w:before="100" w:beforeAutospacing="1" w:after="100" w:afterAutospacing="1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9.8.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Diğer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Yayınlar : - </w:t>
      </w:r>
    </w:p>
    <w:p w:rsidR="0080560A" w:rsidRPr="00B229B4" w:rsidRDefault="0080560A" w:rsidP="0080560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10. Projeler: </w:t>
      </w:r>
    </w:p>
    <w:p w:rsidR="0080560A" w:rsidRPr="00B229B4" w:rsidRDefault="0080560A" w:rsidP="0080560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11. </w:t>
      </w:r>
      <w:proofErr w:type="spellStart"/>
      <w:r w:rsidRPr="00B229B4">
        <w:rPr>
          <w:rFonts w:ascii="Times New Roman" w:hAnsi="Times New Roman" w:cs="Times New Roman"/>
          <w:b/>
          <w:bCs/>
          <w:sz w:val="18"/>
          <w:szCs w:val="18"/>
        </w:rPr>
        <w:t>Üyesi</w:t>
      </w:r>
      <w:proofErr w:type="spellEnd"/>
      <w:r w:rsidRPr="00B229B4">
        <w:rPr>
          <w:rFonts w:ascii="Times New Roman" w:hAnsi="Times New Roman" w:cs="Times New Roman"/>
          <w:b/>
          <w:bCs/>
          <w:sz w:val="18"/>
          <w:szCs w:val="18"/>
        </w:rPr>
        <w:t xml:space="preserve"> Olunan Mesleki ve Bilimsel Kuruluşlar </w:t>
      </w:r>
    </w:p>
    <w:p w:rsidR="0080560A" w:rsidRPr="00B229B4" w:rsidRDefault="0080560A" w:rsidP="0080560A">
      <w:pPr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Türkiye Fizyoterapistler Derneği</w:t>
      </w:r>
    </w:p>
    <w:p w:rsidR="0080560A" w:rsidRPr="00B229B4" w:rsidRDefault="0080560A" w:rsidP="0080560A">
      <w:pPr>
        <w:pStyle w:val="NormalWeb"/>
        <w:rPr>
          <w:b/>
          <w:sz w:val="18"/>
          <w:szCs w:val="18"/>
        </w:rPr>
      </w:pPr>
      <w:r w:rsidRPr="00B229B4">
        <w:rPr>
          <w:b/>
          <w:sz w:val="18"/>
          <w:szCs w:val="18"/>
        </w:rPr>
        <w:t xml:space="preserve">12. </w:t>
      </w:r>
      <w:proofErr w:type="spellStart"/>
      <w:r w:rsidRPr="00B229B4">
        <w:rPr>
          <w:b/>
          <w:sz w:val="18"/>
          <w:szCs w:val="18"/>
        </w:rPr>
        <w:t>Ödüller</w:t>
      </w:r>
      <w:proofErr w:type="spellEnd"/>
      <w:r w:rsidRPr="00B229B4">
        <w:rPr>
          <w:b/>
          <w:sz w:val="18"/>
          <w:szCs w:val="18"/>
        </w:rPr>
        <w:t xml:space="preserve">: </w:t>
      </w:r>
    </w:p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Spinal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Müsküler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Atrofi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Tip 1 Ve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Kistik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B229B4">
        <w:rPr>
          <w:rFonts w:ascii="Times New Roman" w:hAnsi="Times New Roman" w:cs="Times New Roman"/>
          <w:sz w:val="18"/>
          <w:szCs w:val="18"/>
        </w:rPr>
        <w:t>Fibrozis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: Olgu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Sunumu  başlıklı poster sunumu üçüncülük ödülü. III. Uluslararası Katılımlı Pediatrik Rehabilitasyon İstanbul 21-23 Ekim 2017 </w:t>
      </w:r>
    </w:p>
    <w:p w:rsidR="0080560A" w:rsidRPr="00B229B4" w:rsidRDefault="0080560A" w:rsidP="0080560A">
      <w:pPr>
        <w:pStyle w:val="NormalWeb"/>
        <w:shd w:val="clear" w:color="auto" w:fill="FFFFFF"/>
        <w:spacing w:before="0" w:beforeAutospacing="0" w:line="330" w:lineRule="atLeast"/>
        <w:jc w:val="both"/>
        <w:rPr>
          <w:sz w:val="18"/>
          <w:szCs w:val="18"/>
        </w:rPr>
      </w:pPr>
      <w:r w:rsidRPr="00B229B4">
        <w:rPr>
          <w:b/>
          <w:sz w:val="18"/>
          <w:szCs w:val="18"/>
        </w:rPr>
        <w:t>2</w:t>
      </w:r>
      <w:r w:rsidRPr="00B229B4">
        <w:rPr>
          <w:sz w:val="18"/>
          <w:szCs w:val="18"/>
        </w:rPr>
        <w:t xml:space="preserve">. Gaziantep İli ve Çevresinde Yaşayan </w:t>
      </w:r>
      <w:proofErr w:type="spellStart"/>
      <w:r w:rsidRPr="00B229B4">
        <w:rPr>
          <w:sz w:val="18"/>
          <w:szCs w:val="18"/>
        </w:rPr>
        <w:t>Adölesan</w:t>
      </w:r>
      <w:proofErr w:type="spellEnd"/>
      <w:r w:rsidRPr="00B229B4">
        <w:rPr>
          <w:sz w:val="18"/>
          <w:szCs w:val="18"/>
        </w:rPr>
        <w:t xml:space="preserve"> Öğrencilerde Omurga Eğriliklerinin Taranması başlıklı sözel bildiri birincilik ödülü- Zeugma Sağlık Araştırmaları Sempozyumu- Gaziantep 23 Ekim 2018</w:t>
      </w:r>
    </w:p>
    <w:p w:rsidR="0080560A" w:rsidRPr="00B229B4" w:rsidRDefault="0080560A" w:rsidP="0080560A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14. Mesleki Gelişim Etkinlikleri:</w:t>
      </w:r>
    </w:p>
    <w:p w:rsidR="0080560A" w:rsidRPr="00B229B4" w:rsidRDefault="0080560A" w:rsidP="0080560A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15. Yayın Kurulu Üyelikleri:</w:t>
      </w:r>
    </w:p>
    <w:p w:rsidR="0080560A" w:rsidRPr="00B229B4" w:rsidRDefault="0080560A" w:rsidP="0080560A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16. İdari Görevler:</w:t>
      </w:r>
    </w:p>
    <w:p w:rsidR="0080560A" w:rsidRPr="00B229B4" w:rsidRDefault="0080560A" w:rsidP="0080560A">
      <w:pPr>
        <w:spacing w:line="276" w:lineRule="auto"/>
        <w:rPr>
          <w:rFonts w:ascii="Times New Roman" w:eastAsia="Times New Roman Bold" w:hAnsi="Times New Roman" w:cs="Times New Roman"/>
          <w:sz w:val="18"/>
          <w:szCs w:val="18"/>
          <w:lang w:val="en-US"/>
        </w:rPr>
      </w:pPr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OBS,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Senato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Dosyası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Hazırlama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Dikey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Geçiş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Danışmanlığı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Ölçme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ve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Değerlendirme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Koordinatörlüğü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Bölüm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Sorumlusu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UZEM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Koordinatörlüğü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Bölüm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Sorumlusu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İntibak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Komisyonu</w:t>
      </w:r>
      <w:proofErr w:type="spellEnd"/>
    </w:p>
    <w:p w:rsidR="0080560A" w:rsidRPr="00B229B4" w:rsidRDefault="0080560A" w:rsidP="0080560A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0560A" w:rsidRPr="00B229B4" w:rsidRDefault="0080560A" w:rsidP="0080560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17. Eğitim Gelişim Etkinlikleri:</w:t>
      </w:r>
    </w:p>
    <w:p w:rsidR="0080560A" w:rsidRPr="00B229B4" w:rsidRDefault="0080560A" w:rsidP="0080560A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80560A" w:rsidRPr="00B229B4" w:rsidRDefault="0080560A" w:rsidP="0080560A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TİFAO - </w:t>
      </w:r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Turkish İnstitute For Applied Osteopathy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Eğitimi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İstanbul  – 2015 –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devam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>ediyor</w:t>
      </w:r>
      <w:proofErr w:type="spellEnd"/>
      <w:r w:rsidRPr="00B229B4">
        <w:rPr>
          <w:rFonts w:ascii="Times New Roman" w:eastAsia="Times New Roman Bold" w:hAnsi="Times New Roman" w:cs="Times New Roman"/>
          <w:sz w:val="18"/>
          <w:szCs w:val="18"/>
          <w:lang w:val="en-US"/>
        </w:rPr>
        <w:t xml:space="preserve">. </w:t>
      </w:r>
    </w:p>
    <w:p w:rsidR="007434DB" w:rsidRDefault="0080560A">
      <w:bookmarkStart w:id="0" w:name="_GoBack"/>
      <w:bookmarkEnd w:id="0"/>
    </w:p>
    <w:sectPr w:rsidR="0074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942"/>
    <w:multiLevelType w:val="multilevel"/>
    <w:tmpl w:val="72EA1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">
    <w:nsid w:val="18ED60A2"/>
    <w:multiLevelType w:val="hybridMultilevel"/>
    <w:tmpl w:val="9F98017C"/>
    <w:lvl w:ilvl="0" w:tplc="44387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5D89"/>
    <w:multiLevelType w:val="hybridMultilevel"/>
    <w:tmpl w:val="408A3CC0"/>
    <w:lvl w:ilvl="0" w:tplc="9428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55D3"/>
    <w:multiLevelType w:val="hybridMultilevel"/>
    <w:tmpl w:val="97A6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A"/>
    <w:rsid w:val="001C037A"/>
    <w:rsid w:val="00325B68"/>
    <w:rsid w:val="0080560A"/>
    <w:rsid w:val="009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446D-0475-4FB2-AE37-9C52A05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qFormat/>
    <w:rsid w:val="0080560A"/>
    <w:pPr>
      <w:ind w:left="827" w:hanging="70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0560A"/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0560A"/>
    <w:pPr>
      <w:ind w:left="839" w:hanging="360"/>
    </w:pPr>
  </w:style>
  <w:style w:type="paragraph" w:styleId="NormalWeb">
    <w:name w:val="Normal (Web)"/>
    <w:basedOn w:val="Normal"/>
    <w:uiPriority w:val="99"/>
    <w:unhideWhenUsed/>
    <w:rsid w:val="008056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80560A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8056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2021-12-22T12:36:00Z</dcterms:created>
  <dcterms:modified xsi:type="dcterms:W3CDTF">2021-12-22T12:36:00Z</dcterms:modified>
</cp:coreProperties>
</file>