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19" w:rsidRPr="00430DCF" w:rsidRDefault="00E83119" w:rsidP="00E83119">
      <w:pPr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1. Adı Soyadı: </w:t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Yavuz YAKUT </w:t>
      </w:r>
    </w:p>
    <w:p w:rsidR="00E83119" w:rsidRPr="00430DCF" w:rsidRDefault="00E83119" w:rsidP="00E83119">
      <w:pPr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2. Unvanı: </w:t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proofErr w:type="spellStart"/>
      <w:r w:rsidRPr="00430DCF">
        <w:rPr>
          <w:rFonts w:ascii="Times New Roman" w:hAnsi="Times New Roman" w:cs="Times New Roman"/>
          <w:b/>
          <w:bCs/>
          <w:sz w:val="20"/>
          <w:szCs w:val="20"/>
        </w:rPr>
        <w:t>Prof.Dr</w:t>
      </w:r>
      <w:proofErr w:type="spellEnd"/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83119" w:rsidRDefault="00E83119" w:rsidP="00E8311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>3. Öğrenim Durumu:       Doktora</w:t>
      </w:r>
    </w:p>
    <w:p w:rsidR="00E83119" w:rsidRPr="00430DCF" w:rsidRDefault="00E83119" w:rsidP="00E8311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239"/>
        <w:gridCol w:w="3139"/>
        <w:gridCol w:w="851"/>
      </w:tblGrid>
      <w:tr w:rsidR="00E83119" w:rsidRPr="00B229B4" w:rsidTr="008B3D4C"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</w:p>
        </w:tc>
        <w:tc>
          <w:tcPr>
            <w:tcW w:w="3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</w:p>
        </w:tc>
      </w:tr>
      <w:tr w:rsidR="00E83119" w:rsidRPr="00B229B4" w:rsidTr="008B3D4C"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  <w:tc>
          <w:tcPr>
            <w:tcW w:w="3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 Fizyoterapi ve Rehabilitasyon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 Hacettepe Üniversitesi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</w:tr>
      <w:tr w:rsidR="00E83119" w:rsidRPr="00B229B4" w:rsidTr="008B3D4C"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3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İşletme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Anadolu Üniversitesi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E83119" w:rsidRPr="00B229B4" w:rsidTr="008B3D4C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Y. Lisans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 Fizyoterapi ve Rehabilitasyon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 Hacettepe Üniversitesi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</w:tr>
      <w:tr w:rsidR="00E83119" w:rsidRPr="00B229B4" w:rsidTr="008B3D4C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Eğitimde Ölçme ve Değerlendirme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Hasan Kalyoncu Üniversitesi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E83119" w:rsidRPr="00B229B4" w:rsidTr="008B3D4C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 Fizyoterapi ve Rehabilitasyon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 Hacettepe Üniversitesi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</w:tr>
    </w:tbl>
    <w:p w:rsidR="00E83119" w:rsidRPr="00B229B4" w:rsidRDefault="00E83119" w:rsidP="00E8311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4. Akademik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Ünvanlar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3260"/>
        <w:gridCol w:w="3118"/>
        <w:gridCol w:w="902"/>
      </w:tblGrid>
      <w:tr w:rsidR="00E83119" w:rsidRPr="00B229B4" w:rsidTr="008B3D4C">
        <w:trPr>
          <w:cantSplit/>
          <w:trHeight w:val="382"/>
          <w:jc w:val="center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pStyle w:val="Balk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E83119" w:rsidRPr="00B229B4" w:rsidTr="008B3D4C">
        <w:trPr>
          <w:cantSplit/>
          <w:jc w:val="center"/>
        </w:trPr>
        <w:tc>
          <w:tcPr>
            <w:tcW w:w="166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 Üniversitesi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1985-1990</w:t>
            </w:r>
          </w:p>
        </w:tc>
      </w:tr>
      <w:tr w:rsidR="00E83119" w:rsidRPr="00B229B4" w:rsidTr="008B3D4C">
        <w:trPr>
          <w:cantSplit/>
          <w:jc w:val="center"/>
        </w:trPr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Fizyoterapi ve Rehabilitasyon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Hacettepe Üniversitesi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1993-1999</w:t>
            </w:r>
          </w:p>
        </w:tc>
      </w:tr>
      <w:tr w:rsidR="00E83119" w:rsidRPr="00B229B4" w:rsidTr="008B3D4C">
        <w:trPr>
          <w:cantSplit/>
          <w:jc w:val="center"/>
        </w:trPr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Prof.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Hacettepe Üniversitesi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1999-2016</w:t>
            </w:r>
          </w:p>
        </w:tc>
      </w:tr>
      <w:tr w:rsidR="00E83119" w:rsidRPr="00B229B4" w:rsidTr="008B3D4C">
        <w:trPr>
          <w:cantSplit/>
          <w:trHeight w:val="341"/>
          <w:jc w:val="center"/>
        </w:trPr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Prof.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Fizyoterapi ve Rehabilitasyon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2016- </w:t>
            </w:r>
          </w:p>
        </w:tc>
      </w:tr>
    </w:tbl>
    <w:p w:rsidR="00E83119" w:rsidRPr="00B229B4" w:rsidRDefault="00E83119" w:rsidP="00E8311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5. Kurumdaki Hizmet Süresi: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E83119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E83119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119" w:rsidRPr="00B229B4" w:rsidRDefault="00E8311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2016-Devam</w:t>
            </w:r>
          </w:p>
        </w:tc>
      </w:tr>
    </w:tbl>
    <w:p w:rsidR="00E83119" w:rsidRPr="00B229B4" w:rsidRDefault="00E83119" w:rsidP="00E8311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 Diğer İş Deneyimi (Eğitim, Sanayi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vb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624"/>
        <w:gridCol w:w="1373"/>
        <w:gridCol w:w="1215"/>
      </w:tblGrid>
      <w:tr w:rsidR="00E83119" w:rsidRPr="00B229B4" w:rsidTr="008B3D4C">
        <w:trPr>
          <w:cantSplit/>
          <w:trHeight w:val="382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Terfi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E83119" w:rsidRPr="00B229B4" w:rsidTr="008B3D4C">
        <w:trPr>
          <w:cantSplit/>
          <w:trHeight w:val="283"/>
          <w:jc w:val="center"/>
        </w:trPr>
        <w:tc>
          <w:tcPr>
            <w:tcW w:w="1018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25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 Bakanlığı Bütçe Uygulama Talimatı Komisyonu</w:t>
            </w:r>
          </w:p>
        </w:tc>
        <w:tc>
          <w:tcPr>
            <w:tcW w:w="75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6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1997-2003</w:t>
            </w:r>
          </w:p>
        </w:tc>
      </w:tr>
      <w:tr w:rsidR="00E83119" w:rsidRPr="00B229B4" w:rsidTr="008B3D4C">
        <w:trPr>
          <w:cantSplit/>
          <w:trHeight w:val="387"/>
          <w:jc w:val="center"/>
        </w:trPr>
        <w:tc>
          <w:tcPr>
            <w:tcW w:w="1018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25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Sağlık </w:t>
            </w:r>
            <w:r w:rsidRPr="005E137A">
              <w:rPr>
                <w:rFonts w:ascii="Times New Roman" w:hAnsi="Times New Roman" w:cs="Times New Roman"/>
                <w:sz w:val="18"/>
                <w:szCs w:val="18"/>
              </w:rPr>
              <w:t>Bakanlığı Bütçe Uygulama Talimatı Komisyonu</w:t>
            </w:r>
          </w:p>
        </w:tc>
        <w:tc>
          <w:tcPr>
            <w:tcW w:w="75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6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1997-2003</w:t>
            </w:r>
          </w:p>
        </w:tc>
      </w:tr>
      <w:tr w:rsidR="00E83119" w:rsidRPr="00B229B4" w:rsidTr="008B3D4C">
        <w:trPr>
          <w:cantSplit/>
          <w:trHeight w:val="297"/>
          <w:jc w:val="center"/>
        </w:trPr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Emekli Sandığı Danışmanlığı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1999-2001</w:t>
            </w:r>
          </w:p>
        </w:tc>
      </w:tr>
      <w:tr w:rsidR="00E83119" w:rsidRPr="00B229B4" w:rsidTr="008B3D4C">
        <w:trPr>
          <w:cantSplit/>
          <w:trHeight w:val="297"/>
          <w:jc w:val="center"/>
        </w:trPr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Default="00E8311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Türk Standartları Enstitüsü Danışmanlığı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2005-2006</w:t>
            </w:r>
          </w:p>
        </w:tc>
      </w:tr>
      <w:tr w:rsidR="00E83119" w:rsidRPr="00B229B4" w:rsidTr="008B3D4C">
        <w:trPr>
          <w:cantSplit/>
          <w:trHeight w:val="297"/>
          <w:jc w:val="center"/>
        </w:trPr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Default="00E8311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YÖK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ve rehabilitasyon alt komisyonu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Default="00E8311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2013-2016</w:t>
            </w:r>
          </w:p>
        </w:tc>
      </w:tr>
      <w:tr w:rsidR="00E83119" w:rsidRPr="00B229B4" w:rsidTr="008B3D4C">
        <w:trPr>
          <w:cantSplit/>
          <w:trHeight w:val="376"/>
          <w:jc w:val="center"/>
        </w:trPr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UAK doçentlik inceleme komisyonu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Prof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2015-2017</w:t>
            </w:r>
          </w:p>
        </w:tc>
      </w:tr>
      <w:tr w:rsidR="00E83119" w:rsidRPr="00B229B4" w:rsidTr="008B3D4C">
        <w:trPr>
          <w:cantSplit/>
          <w:trHeight w:val="290"/>
          <w:jc w:val="center"/>
        </w:trPr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Bilim Protez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Ortez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Firma Danışmanlığı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Prof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2016-2021</w:t>
            </w:r>
          </w:p>
        </w:tc>
      </w:tr>
    </w:tbl>
    <w:p w:rsidR="00E83119" w:rsidRPr="00B229B4" w:rsidRDefault="00E83119" w:rsidP="00E8311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. Yürütülen Eğitim 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Faaliyetleri :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844"/>
        <w:gridCol w:w="3600"/>
        <w:gridCol w:w="1039"/>
        <w:gridCol w:w="1546"/>
      </w:tblGrid>
      <w:tr w:rsidR="00E83119" w:rsidRPr="00B229B4" w:rsidTr="008B3D4C">
        <w:trPr>
          <w:cantSplit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Akademik Yıl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Dönem 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Haftalık Saati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 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2019-2020</w:t>
            </w:r>
          </w:p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HASAN </w:t>
            </w: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KALYONCU ÜNİVERSİTESİ</w:t>
            </w:r>
          </w:p>
        </w:tc>
        <w:tc>
          <w:tcPr>
            <w:tcW w:w="84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Güz</w:t>
            </w: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Temel Fizyoterapi Uygulamaları I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İleri 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Yaklaşımları (DKT)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Klinik Çalışma (Protez-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3119" w:rsidRPr="00B229B4" w:rsidTr="008B3D4C">
        <w:trPr>
          <w:cantSplit/>
          <w:trHeight w:val="475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Özel 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Uygulamaları (Protez-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Temel Fizyoterapi Uygulamaları II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Aktif Üniversite II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Seminer (YL)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color w:val="5F5F5F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Fizyoterapide Araştırma Yöntemleri (YL)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Fizyoterapide Araştırma Planlama, Yönetme ve Araştırma Etiği (DKT)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Klinik Araştırma Uygulamaları I (DKT)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Klinik Araştırma Uygulamaları II (DKT)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Araştırma Yöntemleri (Protez-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HASAN KALYONCU ÜNİVERSİTESİ </w:t>
            </w:r>
          </w:p>
        </w:tc>
        <w:tc>
          <w:tcPr>
            <w:tcW w:w="84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Güz </w:t>
            </w: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Biyomekanik Analizler (Protez-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  <w:trHeight w:val="314"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Biyomekaniksel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Ölçüm ve Yöntemleri (DKT)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  <w:trHeight w:val="350"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Klinik Biyomekanik I (YL)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Biyomekani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(YL)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Kronik Hastalık Yönetimi 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Tele Rehabilitasyon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Temel Fizyoterapi Uygulamaları 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Rehabilitasyon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Biyomekanik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Bahar 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Araştırma Yöntemleri (Protez-</w:t>
            </w:r>
            <w:proofErr w:type="spellStart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Ortez</w:t>
            </w:r>
            <w:proofErr w:type="spellEnd"/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YL)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  <w:trHeight w:val="393"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Klinik Araştırma Uygulamaları I (DKT)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Fizyoterapide Araştırma Planlama, Yönetme ve Araştırma Etiği (DKT)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Fizyoterapide Araştırma Yöntemleri (YL)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Fizyoterapide Kanıta Dayalı Uygulamalar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Temel Fizyoterapi Uygulamaları II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E83119" w:rsidRPr="00B229B4" w:rsidTr="008B3D4C">
        <w:trPr>
          <w:cantSplit/>
        </w:trPr>
        <w:tc>
          <w:tcPr>
            <w:tcW w:w="1791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119" w:rsidRPr="00B229B4" w:rsidRDefault="00E83119" w:rsidP="008B3D4C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Cs/>
                <w:sz w:val="18"/>
                <w:szCs w:val="18"/>
              </w:rPr>
              <w:t>Aktif Üniversite II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119" w:rsidRPr="00B229B4" w:rsidRDefault="00E83119" w:rsidP="008B3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83119" w:rsidRPr="00B229B4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83119" w:rsidRPr="00B229B4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. Danışmalıklar: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Son üç yıl yönetilen tez sayısı: 10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Patentler: </w:t>
      </w:r>
      <w:r w:rsidRPr="00B229B4">
        <w:rPr>
          <w:rFonts w:ascii="Times New Roman" w:hAnsi="Times New Roman" w:cs="Times New Roman"/>
          <w:bCs/>
          <w:sz w:val="18"/>
          <w:szCs w:val="18"/>
        </w:rPr>
        <w:t>EMME GÜCÜNÜ ÖLÇEN MANOMETRE VE EMME GÜCÜNÜ ÖLÇMEK İÇİN BİR YÖNTEM (Dosya aşaması)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SKOLYOZ ORTEZLERİNE EK FEEDBACK (GERİ BİLDİRİM) SİSTEMİ (Dosya aşaması)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B229B4">
        <w:rPr>
          <w:rFonts w:ascii="Times New Roman" w:hAnsi="Times New Roman" w:cs="Times New Roman"/>
          <w:b/>
          <w:sz w:val="18"/>
          <w:szCs w:val="18"/>
        </w:rPr>
        <w:t xml:space="preserve">. Yayınlar: </w:t>
      </w:r>
      <w:r w:rsidRPr="00B229B4">
        <w:rPr>
          <w:rFonts w:ascii="Times New Roman" w:hAnsi="Times New Roman" w:cs="Times New Roman"/>
          <w:b/>
          <w:sz w:val="18"/>
          <w:szCs w:val="18"/>
        </w:rPr>
        <w:tab/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.1. Uluslararası Hakemli Dergilerde Yayınlanan Makaleler (SCI, SSCI,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6"/>
          <w:szCs w:val="16"/>
        </w:rPr>
        <w:t>Usgu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S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Kudaş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S., Taka, Ö.,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 (2021). Is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YouTube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reliable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source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athletic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taping</w:t>
      </w:r>
      <w:proofErr w:type="spellEnd"/>
      <w:proofErr w:type="gramStart"/>
      <w:r w:rsidRPr="00B229B4">
        <w:rPr>
          <w:rFonts w:ascii="Times New Roman" w:hAnsi="Times New Roman" w:cs="Times New Roman"/>
          <w:sz w:val="16"/>
          <w:szCs w:val="16"/>
        </w:rPr>
        <w:t>?.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Sport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Sciences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1-7.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>Topuz, S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Ülger, Ö.,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, &amp;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Yazicioglu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G. (2021).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Quality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Life Evaluation Through a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Single-Item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“Daily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Prosthesis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Usage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Time”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Individuals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Lower-Limb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Amputation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JPO: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Journal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Prosthetics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Orthotics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6"/>
          <w:szCs w:val="16"/>
        </w:rPr>
        <w:t>Karatel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M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Yagci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G.,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 (2021).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Investigation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multidirectional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hip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range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motion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hip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motion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asymmetry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individuals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idiopathic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scoliosis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different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curve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patterns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Journal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Bodywork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Movement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Therapies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27, 77-83.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>Maden, T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Bayramlar, K., Maden, C.,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 (2021).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Investigating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appropriate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fitting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footwear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functional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performance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balance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fear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falling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older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adults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comparative-observational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study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Geriatric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Nursing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42(2), 331-335.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>Dilek, B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Ayhan, Ç.,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 (2020).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Reliability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validity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Turkish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version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movement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imagery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questionnaire-3: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cultural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adaptation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psychometric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properties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Büyükturan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Ö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Demirci, S.,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Büyükturan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B.,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 (2020).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using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insoles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different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thicknesses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older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adults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Which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thickness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has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best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postural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stability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risk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falling</w:t>
      </w:r>
      <w:proofErr w:type="spellEnd"/>
      <w:proofErr w:type="gramStart"/>
      <w:r w:rsidRPr="00B229B4">
        <w:rPr>
          <w:rFonts w:ascii="Times New Roman" w:hAnsi="Times New Roman" w:cs="Times New Roman"/>
          <w:sz w:val="16"/>
          <w:szCs w:val="16"/>
        </w:rPr>
        <w:t>?.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Journal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American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Podiatric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Medical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Association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110(6).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Yagci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G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Ozcan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D. A., Ayhan, C.,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Demirkiran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G.,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, &amp;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Yazici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M. (2020). Evaluation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upper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extremity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function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relation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curve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pattern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female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adolescents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idiopathic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scoliosis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a pilot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study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Spine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Deformity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Yagci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G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Karatel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M.,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</w:t>
      </w:r>
      <w:r w:rsidRPr="00B229B4">
        <w:rPr>
          <w:rFonts w:ascii="Times New Roman" w:hAnsi="Times New Roman" w:cs="Times New Roman"/>
          <w:sz w:val="16"/>
          <w:szCs w:val="16"/>
        </w:rPr>
        <w:t xml:space="preserve">. (2020). Body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Awareness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Relation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Quality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Life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Individuals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Idiopathic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Scoliosis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Perceptual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Motor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Skills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127 (5), 841-857.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: 10.1177/0031512520924945.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>Yağcı, G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Turgut, E.,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 (2020).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elastic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scapular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taping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shoulder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spine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kinematics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adolescents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idiopathic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scoliosis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Acta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Orthopaedica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et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Traumatologica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Turcica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54(3), 276. Yazıcı, M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Livanelioğlu, A.,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Gücüyener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K., Tekin, L., Sümer, E.,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</w:t>
      </w:r>
      <w:r w:rsidRPr="00B229B4">
        <w:rPr>
          <w:rFonts w:ascii="Times New Roman" w:hAnsi="Times New Roman" w:cs="Times New Roman"/>
          <w:sz w:val="16"/>
          <w:szCs w:val="16"/>
        </w:rPr>
        <w:t xml:space="preserve">. (2019).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robotic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rehabilitation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walking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balance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pediatric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patients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hemiparetic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cerebral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palsy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Gait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posture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70, 397-402.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29B4">
        <w:rPr>
          <w:rFonts w:ascii="Times New Roman" w:hAnsi="Times New Roman" w:cs="Times New Roman"/>
          <w:b/>
          <w:sz w:val="16"/>
          <w:szCs w:val="16"/>
        </w:rPr>
        <w:t>Yakut, Y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Usgu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S.,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Usgu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G., &amp; Uygur, F. (2019).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Validity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Reliability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Foot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Ankle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Ability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Measure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Turkish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Version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Athletes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ind w:left="714" w:hanging="35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lastRenderedPageBreak/>
        <w:t>Yagci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 G</w:t>
      </w:r>
      <w:proofErr w:type="gram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.,</w:t>
      </w:r>
      <w:proofErr w:type="gram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Demirkiran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G., &amp; </w:t>
      </w:r>
      <w:r w:rsidRPr="00B229B4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>Yakut, Y.</w:t>
      </w:r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(2019).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In-brace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alterations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of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pulmonary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functions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in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adolescents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wearing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brace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for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idiopathic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scoliosis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 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Prosthetics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orthotics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international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43</w:t>
      </w:r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(4), 434-439.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ind w:left="714" w:hanging="35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Yagci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 G</w:t>
      </w:r>
      <w:proofErr w:type="gram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.,</w:t>
      </w:r>
      <w:proofErr w:type="gram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&amp; </w:t>
      </w:r>
      <w:r w:rsidRPr="00B229B4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>Yakut, Y.</w:t>
      </w:r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(2019).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Core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stabilization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exercises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versus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scoliosis-specific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exercises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in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moderate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idiopathic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scoliosis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treatment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 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Prosthetics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orthotics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international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43</w:t>
      </w:r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(3), 301-308.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>Çınar, M. A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 xml:space="preserve"> Bayramlar, K.,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Erkılıç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A., Güneş, A., &amp; </w:t>
      </w:r>
      <w:r w:rsidRPr="00B229B4">
        <w:rPr>
          <w:rFonts w:ascii="Times New Roman" w:hAnsi="Times New Roman" w:cs="Times New Roman"/>
          <w:b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sz w:val="16"/>
          <w:szCs w:val="16"/>
        </w:rPr>
        <w:t xml:space="preserve"> (2019).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early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physiotherapy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biochemical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parameters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major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burn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patients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burn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center’s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experience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i/>
          <w:sz w:val="16"/>
          <w:szCs w:val="16"/>
        </w:rPr>
        <w:t>Turkish</w:t>
      </w:r>
      <w:proofErr w:type="spellEnd"/>
      <w:r w:rsidRPr="00B229B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6"/>
          <w:szCs w:val="16"/>
        </w:rPr>
        <w:t>Journal</w:t>
      </w:r>
      <w:proofErr w:type="spellEnd"/>
      <w:r w:rsidRPr="00B229B4">
        <w:rPr>
          <w:rFonts w:ascii="Times New Roman" w:hAnsi="Times New Roman" w:cs="Times New Roman"/>
          <w:i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sz w:val="16"/>
          <w:szCs w:val="16"/>
        </w:rPr>
        <w:t>Trauma</w:t>
      </w:r>
      <w:proofErr w:type="spellEnd"/>
      <w:r w:rsidRPr="00B229B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6"/>
          <w:szCs w:val="16"/>
        </w:rPr>
        <w:t>Emergency</w:t>
      </w:r>
      <w:proofErr w:type="spellEnd"/>
      <w:r w:rsidRPr="00B229B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6"/>
          <w:szCs w:val="16"/>
        </w:rPr>
        <w:t>Surgery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, 25(5), 461-466.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2"/>
        </w:numPr>
        <w:autoSpaceDE/>
        <w:autoSpaceDN/>
        <w:spacing w:before="120"/>
        <w:ind w:left="714" w:hanging="35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Gür, G</w:t>
      </w:r>
      <w:proofErr w:type="gram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.,</w:t>
      </w:r>
      <w:proofErr w:type="gram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r w:rsidRPr="00B229B4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>Yakut, Y.</w:t>
      </w:r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&amp;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Grivas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T. (2018).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The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Turkish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version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of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the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Brace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Questionnaire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in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brace-treated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adolescents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with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idiopathic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scoliosis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 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Prosthetics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orthotics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international</w:t>
      </w:r>
      <w:proofErr w:type="spellEnd"/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 </w:t>
      </w:r>
      <w:r w:rsidRPr="00B229B4">
        <w:rPr>
          <w:rFonts w:ascii="Times New Roman" w:hAnsi="Times New Roman" w:cs="Times New Roman"/>
          <w:i/>
          <w:iCs/>
          <w:color w:val="222222"/>
          <w:sz w:val="16"/>
          <w:szCs w:val="16"/>
          <w:shd w:val="clear" w:color="auto" w:fill="FFFFFF"/>
        </w:rPr>
        <w:t>42</w:t>
      </w:r>
      <w:r w:rsidRPr="00B229B4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(2), 129-135.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color w:val="575757"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Yagci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G, Ayhan C,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 Y</w:t>
      </w:r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Effectiveness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basic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body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awareness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therapy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adolescents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idiopathic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scoliosis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randomized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controlled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study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J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Back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Musculoskelet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Rehabil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2018 Mar 16.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10.3233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>/BMR-170868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color w:val="575757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 xml:space="preserve">Yurt Y, Şener G,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 Y</w:t>
      </w:r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different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foot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orthoses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pain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related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quality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life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painful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flexible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flat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foot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randomized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controlled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trial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Eur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J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Phys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Rehabil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Med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2018 Mar 16.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10.23736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>/S1973-9087.18.05108-0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color w:val="575757"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Yagci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G,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 Y</w:t>
      </w:r>
      <w:r w:rsidRPr="00B229B4">
        <w:rPr>
          <w:rFonts w:ascii="Times New Roman" w:hAnsi="Times New Roman" w:cs="Times New Roman"/>
          <w:sz w:val="16"/>
          <w:szCs w:val="16"/>
        </w:rPr>
        <w:t xml:space="preserve">, Simsek E.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exercise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perception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verticality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adolescent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idiopathic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scoliosis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Physiother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Theory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Pract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2018 Aug;34(8):579-588.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>: 10.1080/09593985.2017.1423429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color w:val="575757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 xml:space="preserve">Oskay D, Tuna Z, Düzgün İ, Elbasan B,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 Y</w:t>
      </w:r>
      <w:r w:rsidRPr="00B229B4">
        <w:rPr>
          <w:rFonts w:ascii="Times New Roman" w:hAnsi="Times New Roman" w:cs="Times New Roman"/>
          <w:sz w:val="16"/>
          <w:szCs w:val="16"/>
        </w:rPr>
        <w:t xml:space="preserve">, Tufan A.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Relationship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kinesiophobia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pain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quality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life,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functional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status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disease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activity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mobility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depression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patients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ankylosing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spondylitis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Turk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J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Med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Sci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2017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Nov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13;47(5):1340-1347.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10.3906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>/sag-1702-93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color w:val="575757"/>
          <w:sz w:val="16"/>
          <w:szCs w:val="16"/>
        </w:rPr>
      </w:pPr>
      <w:r w:rsidRPr="00B229B4">
        <w:rPr>
          <w:rFonts w:ascii="Times New Roman" w:hAnsi="Times New Roman" w:cs="Times New Roman"/>
          <w:sz w:val="16"/>
          <w:szCs w:val="16"/>
        </w:rPr>
        <w:t xml:space="preserve">Dilek B, Ayhan C,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Yagci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G,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 Y</w:t>
      </w:r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Effectiveness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graded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motor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imagery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improve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hand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function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patients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distal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radius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fracture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A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randomized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controlled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trial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</w:t>
      </w:r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J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Hand</w:t>
      </w:r>
      <w:proofErr w:type="spellEnd"/>
      <w:r w:rsidRPr="00B229B4">
        <w:rPr>
          <w:rStyle w:val="jrnl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29B4">
        <w:rPr>
          <w:rStyle w:val="jrnl"/>
          <w:rFonts w:ascii="Times New Roman" w:hAnsi="Times New Roman" w:cs="Times New Roman"/>
          <w:sz w:val="16"/>
          <w:szCs w:val="16"/>
        </w:rPr>
        <w:t>Ther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. 2018 Jan - Mar;31(1):2-9.e1. </w:t>
      </w:r>
      <w:proofErr w:type="spellStart"/>
      <w:r w:rsidRPr="00B229B4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B229B4">
        <w:rPr>
          <w:rFonts w:ascii="Times New Roman" w:hAnsi="Times New Roman" w:cs="Times New Roman"/>
          <w:sz w:val="16"/>
          <w:szCs w:val="16"/>
        </w:rPr>
        <w:t xml:space="preserve">: </w:t>
      </w:r>
      <w:proofErr w:type="gramStart"/>
      <w:r w:rsidRPr="00B229B4">
        <w:rPr>
          <w:rFonts w:ascii="Times New Roman" w:hAnsi="Times New Roman" w:cs="Times New Roman"/>
          <w:sz w:val="16"/>
          <w:szCs w:val="16"/>
        </w:rPr>
        <w:t>10.1016</w:t>
      </w:r>
      <w:proofErr w:type="gramEnd"/>
      <w:r w:rsidRPr="00B229B4">
        <w:rPr>
          <w:rFonts w:ascii="Times New Roman" w:hAnsi="Times New Roman" w:cs="Times New Roman"/>
          <w:sz w:val="16"/>
          <w:szCs w:val="16"/>
        </w:rPr>
        <w:t>/j.jht.2017.09.004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color w:val="575757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.2. Yazılan Uluslararası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Yakut, Y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&amp; Tuncer, A. (2020). Architecture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human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joints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movement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Comparative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Kinesiology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Human Body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B229B4">
        <w:rPr>
          <w:rFonts w:ascii="Times New Roman" w:hAnsi="Times New Roman" w:cs="Times New Roman"/>
          <w:sz w:val="18"/>
          <w:szCs w:val="18"/>
        </w:rPr>
        <w:t>pp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47-57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Yakut Y. </w:t>
      </w:r>
      <w:r w:rsidRPr="00B229B4">
        <w:rPr>
          <w:rFonts w:ascii="Times New Roman" w:hAnsi="Times New Roman" w:cs="Times New Roman"/>
          <w:sz w:val="18"/>
          <w:szCs w:val="18"/>
        </w:rPr>
        <w:t>İnsan Hareketinde Biyomekanik. Editör (çeviri ed.), Pelikan Yayıncılık, 2014.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Yakut Y</w:t>
      </w:r>
      <w:r w:rsidRPr="00B229B4">
        <w:rPr>
          <w:rFonts w:ascii="Times New Roman" w:hAnsi="Times New Roman" w:cs="Times New Roman"/>
          <w:sz w:val="18"/>
          <w:szCs w:val="18"/>
        </w:rPr>
        <w:t>, Bek N. Yardımcı Cihazlar. Özürlü Çocuğu Olan Aileler İçin Rehber- Sorular ve Cevapları. Karaduman A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Tunca Yılmaz Ö. (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). Mart 2010,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Alf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Matbaacılık, s:141–144, Ankara. ISBN: 978–605-88879-0-9 (Kitapta Bölüm Yazarlığı).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Yakut Y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Tidy’s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Bölüm çevirisi. Ankara, 2007.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Yakut Y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Tidy’s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Biomechanics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Bölüm çevirisi. Ankara, 2007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Yakut Y</w:t>
      </w:r>
      <w:r w:rsidRPr="00B229B4">
        <w:rPr>
          <w:rFonts w:ascii="Times New Roman" w:hAnsi="Times New Roman" w:cs="Times New Roman"/>
          <w:sz w:val="18"/>
          <w:szCs w:val="18"/>
        </w:rPr>
        <w:t xml:space="preserve">. Alçı ve Bandaj Teknikleri.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 xml:space="preserve">Ortopedi El Kitabı. 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Bölüm Çevirisi.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Lippincott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Williams &amp;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Wilkins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2003.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Uygur F, 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Yakut Y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Brakial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Pleksus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Yaralanmalarında Rehabilitasyon. H.Ü. Fizik Tedavi ve Rehabilitasyon Yüksekokulu Yayınları-18, Ankara, 1995.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Algun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C, Karaduman A, 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Yakut Y</w:t>
      </w:r>
      <w:r w:rsidRPr="00B229B4">
        <w:rPr>
          <w:rFonts w:ascii="Times New Roman" w:hAnsi="Times New Roman" w:cs="Times New Roman"/>
          <w:sz w:val="18"/>
          <w:szCs w:val="18"/>
        </w:rPr>
        <w:t xml:space="preserve">. El ve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Elbileği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Splintleri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H.Ü. Fizik Tedavi ve Rehabilitasyon Yüksekokulu Yayınları-5, Ankara, 1991.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.3. Ulusal Hakemli Dergilerde Yayınlanan Makaleler 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229B4">
        <w:rPr>
          <w:rFonts w:ascii="Times New Roman" w:hAnsi="Times New Roman" w:cs="Times New Roman"/>
          <w:bCs/>
          <w:sz w:val="16"/>
          <w:szCs w:val="16"/>
        </w:rPr>
        <w:t>ALTUN, Y</w:t>
      </w:r>
      <w:proofErr w:type="gramStart"/>
      <w:r w:rsidRPr="00B229B4">
        <w:rPr>
          <w:rFonts w:ascii="Times New Roman" w:hAnsi="Times New Roman" w:cs="Times New Roman"/>
          <w:bCs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DİLEK, B., &amp;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bCs/>
          <w:sz w:val="16"/>
          <w:szCs w:val="16"/>
        </w:rPr>
        <w:t xml:space="preserve"> (2021).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Effects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brace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on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pedobarographic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parameters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in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individuals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with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adolescent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idiopathic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scoliosis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Exercise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Therapy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Rehabilitation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>, 8(1), 44-53.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Tigli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>, A</w:t>
      </w:r>
      <w:proofErr w:type="gramStart"/>
      <w:r w:rsidRPr="00B229B4">
        <w:rPr>
          <w:rFonts w:ascii="Times New Roman" w:hAnsi="Times New Roman" w:cs="Times New Roman"/>
          <w:bCs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&amp;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YAKUT, Y.</w:t>
      </w:r>
      <w:r w:rsidRPr="00B229B4">
        <w:rPr>
          <w:rFonts w:ascii="Times New Roman" w:hAnsi="Times New Roman" w:cs="Times New Roman"/>
          <w:bCs/>
          <w:sz w:val="16"/>
          <w:szCs w:val="16"/>
        </w:rPr>
        <w:t xml:space="preserve"> (2020).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Effect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calisthenic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exercise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program on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inflammatory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markers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quality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of life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exercise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capacity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after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renal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transplantation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: a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randomized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controlled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study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.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Exercise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Therapy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Rehabilitation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>, 7(1), 1-10.</w:t>
      </w:r>
    </w:p>
    <w:p w:rsidR="00E83119" w:rsidRPr="00B229B4" w:rsidRDefault="00E83119" w:rsidP="00E83119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>, S</w:t>
      </w:r>
      <w:proofErr w:type="gramStart"/>
      <w:r w:rsidRPr="00B229B4">
        <w:rPr>
          <w:rFonts w:ascii="Times New Roman" w:hAnsi="Times New Roman" w:cs="Times New Roman"/>
          <w:bCs/>
          <w:sz w:val="16"/>
          <w:szCs w:val="16"/>
        </w:rPr>
        <w:t>.,</w:t>
      </w:r>
      <w:proofErr w:type="gram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229B4">
        <w:rPr>
          <w:rFonts w:ascii="Times New Roman" w:hAnsi="Times New Roman" w:cs="Times New Roman"/>
          <w:b/>
          <w:bCs/>
          <w:sz w:val="16"/>
          <w:szCs w:val="16"/>
        </w:rPr>
        <w:t>Yakut, Y</w:t>
      </w:r>
      <w:r w:rsidRPr="00B229B4">
        <w:rPr>
          <w:rFonts w:ascii="Times New Roman" w:hAnsi="Times New Roman" w:cs="Times New Roman"/>
          <w:bCs/>
          <w:sz w:val="16"/>
          <w:szCs w:val="16"/>
        </w:rPr>
        <w:t xml:space="preserve">., &amp; Çınar, M. A. (2020).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Comparison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Achilles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Tendon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Viscoelastic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Properties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in Elite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Runners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Soccer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Players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. Spor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Hekimligi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Dergisi/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Turkish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 xml:space="preserve"> of Sports </w:t>
      </w:r>
      <w:proofErr w:type="spellStart"/>
      <w:r w:rsidRPr="00B229B4">
        <w:rPr>
          <w:rFonts w:ascii="Times New Roman" w:hAnsi="Times New Roman" w:cs="Times New Roman"/>
          <w:bCs/>
          <w:sz w:val="16"/>
          <w:szCs w:val="16"/>
        </w:rPr>
        <w:t>Medicine</w:t>
      </w:r>
      <w:proofErr w:type="spellEnd"/>
      <w:r w:rsidRPr="00B229B4">
        <w:rPr>
          <w:rFonts w:ascii="Times New Roman" w:hAnsi="Times New Roman" w:cs="Times New Roman"/>
          <w:bCs/>
          <w:sz w:val="16"/>
          <w:szCs w:val="16"/>
        </w:rPr>
        <w:t>, 55(4).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 Projeler: 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229B4">
        <w:rPr>
          <w:rFonts w:ascii="Times New Roman" w:hAnsi="Times New Roman" w:cs="Times New Roman"/>
          <w:bCs/>
          <w:i/>
          <w:sz w:val="18"/>
          <w:szCs w:val="18"/>
        </w:rPr>
        <w:t>TÜBİTAK 1001- Araştırmacı/Uzman:</w:t>
      </w:r>
      <w:r w:rsidRPr="00B229B4">
        <w:rPr>
          <w:rFonts w:ascii="Times New Roman" w:hAnsi="Times New Roman" w:cs="Times New Roman"/>
          <w:bCs/>
          <w:sz w:val="18"/>
          <w:szCs w:val="18"/>
        </w:rPr>
        <w:t xml:space="preserve"> ‘’Travmadan Yılmazlığa: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Covid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19 Sürecinde Hemşire Ebeveynlerin Hastane ve Aile Yaşamında Denge Arayışları’’</w:t>
      </w:r>
    </w:p>
    <w:p w:rsidR="00E83119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Üyesi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Olunan Mesleki ve Bilimsel Kuruluşlar </w:t>
      </w:r>
    </w:p>
    <w:p w:rsidR="00E83119" w:rsidRPr="0024546F" w:rsidRDefault="00E83119" w:rsidP="00E8311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4546F">
        <w:rPr>
          <w:rFonts w:ascii="Times New Roman" w:hAnsi="Times New Roman" w:cs="Times New Roman"/>
          <w:bCs/>
          <w:sz w:val="18"/>
          <w:szCs w:val="18"/>
        </w:rPr>
        <w:t xml:space="preserve">Türkiye Milli </w:t>
      </w:r>
      <w:proofErr w:type="spellStart"/>
      <w:r w:rsidRPr="0024546F">
        <w:rPr>
          <w:rFonts w:ascii="Times New Roman" w:hAnsi="Times New Roman" w:cs="Times New Roman"/>
          <w:bCs/>
          <w:sz w:val="18"/>
          <w:szCs w:val="18"/>
        </w:rPr>
        <w:t>Paralimpik</w:t>
      </w:r>
      <w:proofErr w:type="spellEnd"/>
      <w:r w:rsidRPr="0024546F">
        <w:rPr>
          <w:rFonts w:ascii="Times New Roman" w:hAnsi="Times New Roman" w:cs="Times New Roman"/>
          <w:bCs/>
          <w:sz w:val="18"/>
          <w:szCs w:val="18"/>
        </w:rPr>
        <w:t xml:space="preserve"> Komitesi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Türkiye Fizyoterapistler Derneği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Society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Scoliosis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Orthopaedic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Rehabilitation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Treatment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World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Confederation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</w:p>
    <w:p w:rsidR="00E83119" w:rsidRPr="00B229B4" w:rsidRDefault="00E83119" w:rsidP="00E83119">
      <w:pPr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Society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Prosthetics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Orthotics</w:t>
      </w:r>
      <w:proofErr w:type="spellEnd"/>
    </w:p>
    <w:p w:rsidR="00E83119" w:rsidRPr="00B229B4" w:rsidRDefault="00E83119" w:rsidP="00E83119">
      <w:pPr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European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Academy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Childhood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Disability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. Kurumsal ve Mesleki Hizmetler: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Skolyoz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eğitimi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Skolyoz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Toplantıları I, II, III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Serebral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Palside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Ortez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Eğitimi</w:t>
      </w:r>
    </w:p>
    <w:p w:rsidR="00E83119" w:rsidRPr="00B229B4" w:rsidRDefault="00E83119" w:rsidP="00E8311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Bilimsel Makale Yazma Eğitimi </w:t>
      </w:r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. Yayın Kurulu Üyelikleri:</w:t>
      </w:r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Rehabilitation</w:t>
      </w:r>
      <w:proofErr w:type="spellEnd"/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Zeugma Sağlık Araştırmaları Dergisi</w:t>
      </w:r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. İdari Görevler: </w:t>
      </w:r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Fizyoterapi ve Rehabilitasyon Bölüm Başkanı</w:t>
      </w:r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Fizyoterapi ve Rehabilitasyon Uygulama ve Araştırma Merkez Müdürü</w:t>
      </w:r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Proje Eğitim Sorumlusu</w:t>
      </w:r>
    </w:p>
    <w:p w:rsidR="00E83119" w:rsidRPr="00B229B4" w:rsidRDefault="00E83119" w:rsidP="00E83119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Lisansüstü Program Geliştirme</w:t>
      </w:r>
    </w:p>
    <w:p w:rsidR="007434DB" w:rsidRPr="00E83119" w:rsidRDefault="00E83119" w:rsidP="00E83119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SBF </w:t>
      </w:r>
      <w:r w:rsidRPr="00B229B4">
        <w:rPr>
          <w:rFonts w:ascii="Times New Roman" w:hAnsi="Times New Roman" w:cs="Times New Roman"/>
          <w:bCs/>
          <w:sz w:val="18"/>
          <w:szCs w:val="18"/>
        </w:rPr>
        <w:t>Ölçme ve Değerlendirme Koordinatörü</w:t>
      </w:r>
      <w:bookmarkStart w:id="0" w:name="_GoBack"/>
      <w:bookmarkEnd w:id="0"/>
    </w:p>
    <w:sectPr w:rsidR="007434DB" w:rsidRPr="00E8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119A"/>
    <w:multiLevelType w:val="hybridMultilevel"/>
    <w:tmpl w:val="CE04E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F74"/>
    <w:multiLevelType w:val="multilevel"/>
    <w:tmpl w:val="6C3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E0033"/>
    <w:multiLevelType w:val="multilevel"/>
    <w:tmpl w:val="6C3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59"/>
    <w:rsid w:val="00325B68"/>
    <w:rsid w:val="009F4E2D"/>
    <w:rsid w:val="00C33259"/>
    <w:rsid w:val="00E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FD0-563A-4260-8952-8231A34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E83119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83119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83119"/>
    <w:pPr>
      <w:ind w:left="839" w:hanging="360"/>
    </w:pPr>
  </w:style>
  <w:style w:type="character" w:customStyle="1" w:styleId="jrnl">
    <w:name w:val="jrnl"/>
    <w:basedOn w:val="VarsaylanParagrafYazTipi"/>
    <w:rsid w:val="00E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2021-12-22T12:03:00Z</dcterms:created>
  <dcterms:modified xsi:type="dcterms:W3CDTF">2021-12-22T12:07:00Z</dcterms:modified>
</cp:coreProperties>
</file>