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5234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  <w:sectPr w:rsidR="000105E6">
          <w:pgSz w:w="11906" w:h="16838"/>
          <w:pgMar w:top="1079" w:right="746" w:bottom="899" w:left="1417" w:header="708" w:footer="708" w:gutter="0"/>
          <w:pgNumType w:start="1"/>
          <w:cols w:space="708"/>
        </w:sectPr>
      </w:pPr>
      <w:bookmarkStart w:id="0" w:name="bookmark=id.gjdgxs" w:colFirst="0" w:colLast="0"/>
      <w:bookmarkEnd w:id="0"/>
      <w:r>
        <w:rPr>
          <w:b/>
          <w:color w:val="000000"/>
        </w:rPr>
        <w:t>ÖZGEÇMİŞ</w:t>
      </w:r>
    </w:p>
    <w:p w14:paraId="05335F13" w14:textId="77777777" w:rsidR="000105E6" w:rsidRDefault="005E35F1">
      <w:r>
        <w:rPr>
          <w:b/>
        </w:rPr>
        <w:t>1. Adı Soyadı :</w:t>
      </w:r>
      <w:r>
        <w:t xml:space="preserve"> Büşra Nur Durmaz</w:t>
      </w:r>
      <w:r>
        <w:rPr>
          <w:b/>
        </w:rPr>
        <w:t xml:space="preserve">                                                  </w:t>
      </w:r>
    </w:p>
    <w:p w14:paraId="1ED308A3" w14:textId="601B77EB" w:rsidR="000105E6" w:rsidRDefault="005E35F1">
      <w:pPr>
        <w:rPr>
          <w:b/>
          <w:color w:val="000000"/>
        </w:rPr>
        <w:sectPr w:rsidR="000105E6">
          <w:type w:val="continuous"/>
          <w:pgSz w:w="11906" w:h="16838"/>
          <w:pgMar w:top="1079" w:right="746" w:bottom="899" w:left="1417" w:header="708" w:footer="708" w:gutter="0"/>
          <w:cols w:space="708"/>
        </w:sectPr>
      </w:pPr>
      <w:r>
        <w:rPr>
          <w:b/>
        </w:rPr>
        <w:t>2. Doğum Tarihi :</w:t>
      </w:r>
      <w:r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</w:p>
    <w:p w14:paraId="20FF198D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color w:val="000000"/>
        </w:rPr>
        <w:sectPr w:rsidR="000105E6">
          <w:type w:val="continuous"/>
          <w:pgSz w:w="11906" w:h="16838"/>
          <w:pgMar w:top="1079" w:right="746" w:bottom="899" w:left="1417" w:header="708" w:footer="708" w:gutter="0"/>
          <w:cols w:num="2" w:space="708" w:equalWidth="0">
            <w:col w:w="4517" w:space="708"/>
            <w:col w:w="4517" w:space="0"/>
          </w:cols>
        </w:sectPr>
      </w:pPr>
      <w:r>
        <w:rPr>
          <w:b/>
          <w:color w:val="000000"/>
        </w:rPr>
        <w:t xml:space="preserve">3. Unvanı : </w:t>
      </w:r>
      <w:r>
        <w:rPr>
          <w:color w:val="000000"/>
        </w:rPr>
        <w:t>Araştırma Görevlisi</w:t>
      </w:r>
      <w:r>
        <w:rPr>
          <w:b/>
          <w:color w:val="000000"/>
        </w:rPr>
        <w:t xml:space="preserve"> </w:t>
      </w:r>
    </w:p>
    <w:p w14:paraId="758402DF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b/>
          <w:color w:val="000000"/>
        </w:rPr>
        <w:t xml:space="preserve">4. Öğrenim Durumu </w:t>
      </w:r>
    </w:p>
    <w:tbl>
      <w:tblPr>
        <w:tblStyle w:val="a4"/>
        <w:tblW w:w="8303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776"/>
        <w:gridCol w:w="2262"/>
        <w:gridCol w:w="3048"/>
        <w:gridCol w:w="1217"/>
      </w:tblGrid>
      <w:tr w:rsidR="000105E6" w14:paraId="5F9534B0" w14:textId="77777777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6F1E3E" w14:textId="77777777" w:rsidR="000105E6" w:rsidRDefault="005E35F1">
            <w:r>
              <w:rPr>
                <w:b/>
              </w:rPr>
              <w:t>Derece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E82CD5" w14:textId="77777777" w:rsidR="000105E6" w:rsidRDefault="005E35F1">
            <w:r>
              <w:rPr>
                <w:b/>
              </w:rPr>
              <w:t>Alan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0CA7F9" w14:textId="77777777" w:rsidR="000105E6" w:rsidRDefault="005E35F1">
            <w:r>
              <w:rPr>
                <w:b/>
              </w:rPr>
              <w:t>Üniversite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949E9A" w14:textId="77777777" w:rsidR="000105E6" w:rsidRDefault="005E35F1">
            <w:r>
              <w:rPr>
                <w:b/>
              </w:rPr>
              <w:t>Yıl</w:t>
            </w:r>
          </w:p>
        </w:tc>
      </w:tr>
      <w:tr w:rsidR="000105E6" w14:paraId="7E867FD7" w14:textId="77777777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132D5C" w14:textId="77777777" w:rsidR="000105E6" w:rsidRDefault="005E35F1">
            <w:r>
              <w:t>Lisans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C01211" w14:textId="77777777" w:rsidR="000105E6" w:rsidRDefault="005E35F1">
            <w:r>
              <w:t>İngilizce Öğretmenliği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81E286" w14:textId="77777777" w:rsidR="000105E6" w:rsidRDefault="005E35F1">
            <w:r>
              <w:t>Orta Doğu Teknik Üniversitesi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DC3268" w14:textId="77777777" w:rsidR="000105E6" w:rsidRDefault="005E35F1">
            <w:r>
              <w:t>2011-2016</w:t>
            </w:r>
          </w:p>
        </w:tc>
      </w:tr>
      <w:tr w:rsidR="000105E6" w14:paraId="5F09A9CB" w14:textId="77777777">
        <w:trPr>
          <w:jc w:val="center"/>
        </w:trPr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366ED" w14:textId="77777777" w:rsidR="000105E6" w:rsidRDefault="005E35F1">
            <w:r>
              <w:t>Y. Lisans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F0437A" w14:textId="77777777" w:rsidR="000105E6" w:rsidRDefault="005E35F1">
            <w:r>
              <w:t xml:space="preserve">İngiliz Dili Eğitimi 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596DB3" w14:textId="77777777" w:rsidR="000105E6" w:rsidRDefault="005E35F1">
            <w:r>
              <w:t xml:space="preserve"> Gazi Üniversitesi </w:t>
            </w:r>
          </w:p>
        </w:tc>
        <w:tc>
          <w:tcPr>
            <w:tcW w:w="1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D21F5A" w14:textId="77777777" w:rsidR="000105E6" w:rsidRDefault="005E35F1">
            <w:r>
              <w:t>2018- 2021</w:t>
            </w:r>
          </w:p>
        </w:tc>
      </w:tr>
    </w:tbl>
    <w:p w14:paraId="10C3B262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color w:val="000000"/>
        </w:rPr>
        <w:t> </w:t>
      </w:r>
      <w:r>
        <w:rPr>
          <w:b/>
          <w:color w:val="000000"/>
        </w:rPr>
        <w:t>5. Akademik Unvanlar</w:t>
      </w:r>
      <w:r>
        <w:rPr>
          <w:color w:val="000000"/>
        </w:rPr>
        <w:t xml:space="preserve"> </w:t>
      </w:r>
    </w:p>
    <w:p w14:paraId="3E9F00B7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bookmarkStart w:id="1" w:name="bookmark=id.30j0zll" w:colFirst="0" w:colLast="0"/>
      <w:bookmarkEnd w:id="1"/>
      <w:r>
        <w:rPr>
          <w:b/>
          <w:color w:val="000000"/>
        </w:rPr>
        <w:t xml:space="preserve">6. Yönetilen Yüksek Lisans ve Doktora Tezleri </w:t>
      </w:r>
    </w:p>
    <w:p w14:paraId="74EB3F46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color w:val="000000"/>
        </w:rPr>
      </w:pPr>
      <w:r>
        <w:rPr>
          <w:b/>
          <w:color w:val="000000"/>
        </w:rPr>
        <w:t xml:space="preserve">6.1 Yüksek Lisans Tezler </w:t>
      </w:r>
    </w:p>
    <w:p w14:paraId="7FE7559D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color w:val="000000"/>
        </w:rPr>
      </w:pPr>
      <w:r>
        <w:rPr>
          <w:b/>
          <w:color w:val="000000"/>
        </w:rPr>
        <w:t xml:space="preserve">6.2 Doktora Tezleri </w:t>
      </w:r>
    </w:p>
    <w:p w14:paraId="68CC6B88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b/>
          <w:color w:val="000000"/>
        </w:rPr>
        <w:t>7. Yayınlar</w:t>
      </w:r>
      <w:r>
        <w:rPr>
          <w:color w:val="000000"/>
        </w:rPr>
        <w:t xml:space="preserve"> </w:t>
      </w:r>
    </w:p>
    <w:p w14:paraId="05463838" w14:textId="77777777" w:rsidR="000105E6" w:rsidRDefault="000105E6">
      <w:pPr>
        <w:spacing w:line="276" w:lineRule="auto"/>
        <w:rPr>
          <w:color w:val="000000"/>
        </w:rPr>
      </w:pPr>
    </w:p>
    <w:p w14:paraId="71E780D3" w14:textId="77777777" w:rsidR="000105E6" w:rsidRDefault="005E35F1">
      <w:pPr>
        <w:spacing w:line="276" w:lineRule="auto"/>
      </w:pPr>
      <w:r>
        <w:t xml:space="preserve">Sönmez, G., &amp; Durmaz, B.N.  (2017) Relatıonshıp Among Effıcacy, Strategy Use And Profıcıency: Case Of Lıstenıng In An EFL Classroom. </w:t>
      </w:r>
      <w:r>
        <w:rPr>
          <w:i/>
        </w:rPr>
        <w:t>Turkish Online Journal of English Language Teaching</w:t>
      </w:r>
      <w:r>
        <w:t>, 2(3), 133-150.</w:t>
      </w:r>
    </w:p>
    <w:p w14:paraId="59461F9A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before="280" w:after="280"/>
      </w:pPr>
      <w:r>
        <w:t xml:space="preserve">Boran, G. S., Çiloğlan, F., &amp; Durmaz, B. N. (2020). An </w:t>
      </w:r>
      <w:r>
        <w:t>Investigation of Foreign Language Proficiency of Cabin Crew Candidates during Employment Process. </w:t>
      </w:r>
      <w:r>
        <w:rPr>
          <w:i/>
        </w:rPr>
        <w:t>Language Teaching (TOJELT)</w:t>
      </w:r>
      <w:r>
        <w:t>, </w:t>
      </w:r>
      <w:r>
        <w:rPr>
          <w:i/>
        </w:rPr>
        <w:t>5</w:t>
      </w:r>
      <w:r>
        <w:t>(3), 131-145.</w:t>
      </w:r>
    </w:p>
    <w:p w14:paraId="72374802" w14:textId="77777777" w:rsidR="000105E6" w:rsidRDefault="005E35F1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b/>
          <w:color w:val="000000"/>
        </w:rPr>
        <w:t>7.2 Uluslararası bilimsel toplantılarda sunulan ve bildiri kitabında (</w:t>
      </w:r>
      <w:r>
        <w:rPr>
          <w:b/>
        </w:rPr>
        <w:t>Proceedings</w:t>
      </w:r>
      <w:r>
        <w:rPr>
          <w:b/>
          <w:color w:val="000000"/>
        </w:rPr>
        <w:t>) basılan bildiriler.</w:t>
      </w:r>
      <w:r>
        <w:rPr>
          <w:color w:val="000000"/>
        </w:rPr>
        <w:t xml:space="preserve"> </w:t>
      </w:r>
    </w:p>
    <w:p w14:paraId="4DD2789A" w14:textId="77777777" w:rsidR="000105E6" w:rsidRDefault="000105E6">
      <w:pPr>
        <w:spacing w:line="276" w:lineRule="auto"/>
      </w:pPr>
    </w:p>
    <w:p w14:paraId="1E6979CC" w14:textId="77777777" w:rsidR="000105E6" w:rsidRDefault="005E35F1">
      <w:pPr>
        <w:spacing w:line="276" w:lineRule="auto"/>
      </w:pPr>
      <w:r>
        <w:t>Sönmez Bor</w:t>
      </w:r>
      <w:r>
        <w:t xml:space="preserve">an, G. &amp; </w:t>
      </w:r>
      <w:r>
        <w:rPr>
          <w:b/>
        </w:rPr>
        <w:t xml:space="preserve">Durmaz, B.N. </w:t>
      </w:r>
      <w:r>
        <w:t>(2017).</w:t>
      </w:r>
      <w:r>
        <w:rPr>
          <w:b/>
        </w:rPr>
        <w:t> </w:t>
      </w:r>
      <w:r>
        <w:rPr>
          <w:i/>
        </w:rPr>
        <w:t>Relationship among efficacy, strategy use and proficiency: case of listening in an EFL classroom.</w:t>
      </w:r>
      <w:r>
        <w:t> 18th INGED International ELT Conference Paper Presentation, Istanbul, Turkey.</w:t>
      </w:r>
    </w:p>
    <w:p w14:paraId="4F725662" w14:textId="77777777" w:rsidR="000105E6" w:rsidRDefault="000105E6">
      <w:pPr>
        <w:spacing w:line="276" w:lineRule="auto"/>
      </w:pPr>
    </w:p>
    <w:p w14:paraId="7068CE2E" w14:textId="77777777" w:rsidR="000105E6" w:rsidRDefault="005E35F1">
      <w:pPr>
        <w:spacing w:line="276" w:lineRule="auto"/>
        <w:rPr>
          <w:color w:val="000000"/>
        </w:rPr>
      </w:pPr>
      <w:r>
        <w:rPr>
          <w:color w:val="000000"/>
        </w:rPr>
        <w:t xml:space="preserve">Sönmez Boran, G., Çiloğlan, F. &amp; </w:t>
      </w:r>
      <w:r>
        <w:rPr>
          <w:b/>
          <w:color w:val="000000"/>
        </w:rPr>
        <w:t>Durmaz, B.N.</w:t>
      </w:r>
      <w:r>
        <w:rPr>
          <w:color w:val="000000"/>
        </w:rPr>
        <w:t xml:space="preserve"> (20</w:t>
      </w:r>
      <w:r>
        <w:rPr>
          <w:color w:val="000000"/>
        </w:rPr>
        <w:t xml:space="preserve">18) </w:t>
      </w:r>
      <w:r>
        <w:rPr>
          <w:i/>
          <w:color w:val="000000"/>
        </w:rPr>
        <w:t>An Investigation of Foreign Language Production of Cabin Crew Candidates during their Employment Process.</w:t>
      </w:r>
      <w:r>
        <w:rPr>
          <w:color w:val="000000"/>
        </w:rPr>
        <w:t xml:space="preserve">  6th International Congress on Measurement and Evaluation in Education and Psychology. Prizren, Kosovo.</w:t>
      </w:r>
    </w:p>
    <w:p w14:paraId="7FBAC014" w14:textId="77777777" w:rsidR="000105E6" w:rsidRDefault="000105E6">
      <w:pPr>
        <w:spacing w:line="276" w:lineRule="auto"/>
      </w:pPr>
    </w:p>
    <w:p w14:paraId="3A67CBC2" w14:textId="77777777" w:rsidR="000105E6" w:rsidRDefault="005E35F1">
      <w:pPr>
        <w:spacing w:line="276" w:lineRule="auto"/>
      </w:pPr>
      <w:r>
        <w:t xml:space="preserve">Sıvacı, S., </w:t>
      </w:r>
      <w:r>
        <w:rPr>
          <w:b/>
        </w:rPr>
        <w:t>Durmaz, B. N. (</w:t>
      </w:r>
      <w:r>
        <w:t xml:space="preserve">2019) </w:t>
      </w:r>
      <w:r>
        <w:rPr>
          <w:i/>
        </w:rPr>
        <w:t xml:space="preserve">Preservice ELT Teachers’ Attitudes and Preferences Towards Literary Texts used in English Learning. </w:t>
      </w:r>
      <w:r>
        <w:t>IDEA Conference, April 24-26, Gaziantep, Turkey</w:t>
      </w:r>
    </w:p>
    <w:p w14:paraId="3B009B22" w14:textId="77777777" w:rsidR="000105E6" w:rsidRDefault="000105E6">
      <w:pPr>
        <w:spacing w:line="276" w:lineRule="auto"/>
        <w:rPr>
          <w:b/>
        </w:rPr>
      </w:pPr>
    </w:p>
    <w:p w14:paraId="214C3009" w14:textId="77777777" w:rsidR="000105E6" w:rsidRDefault="005E35F1">
      <w:pPr>
        <w:spacing w:line="276" w:lineRule="auto"/>
      </w:pPr>
      <w:r>
        <w:rPr>
          <w:b/>
        </w:rPr>
        <w:lastRenderedPageBreak/>
        <w:t xml:space="preserve">Durmaz, B.N., </w:t>
      </w:r>
      <w:r>
        <w:t xml:space="preserve">Aşık, A. (2020) </w:t>
      </w:r>
      <w:r>
        <w:rPr>
          <w:i/>
        </w:rPr>
        <w:t>Listening Metacognitive Awareness Of Turkish EFL Learner</w:t>
      </w:r>
      <w:r>
        <w:rPr>
          <w:i/>
        </w:rPr>
        <w:t>s in Relation With Foreign Language Listening Anxiety</w:t>
      </w:r>
      <w:r>
        <w:t>, 2nd ILTERG Conference, 16-17 October</w:t>
      </w:r>
    </w:p>
    <w:p w14:paraId="02DB8418" w14:textId="77777777" w:rsidR="000105E6" w:rsidRDefault="000105E6">
      <w:pPr>
        <w:spacing w:line="276" w:lineRule="auto"/>
      </w:pPr>
    </w:p>
    <w:p w14:paraId="3A673063" w14:textId="77777777" w:rsidR="000105E6" w:rsidRDefault="005E35F1">
      <w:pPr>
        <w:spacing w:line="276" w:lineRule="auto"/>
      </w:pPr>
      <w:r>
        <w:t xml:space="preserve">Yıldırım, Ş., </w:t>
      </w:r>
      <w:r>
        <w:rPr>
          <w:b/>
        </w:rPr>
        <w:t>Durmaz, B.N.</w:t>
      </w:r>
      <w:r>
        <w:t xml:space="preserve">, Çiloğlan-Konur, F., Doyran, F. (2020) </w:t>
      </w:r>
      <w:r>
        <w:rPr>
          <w:i/>
        </w:rPr>
        <w:t xml:space="preserve">Hybrid Education During Pandemic: Voices of University Students and Faculty Members, </w:t>
      </w:r>
      <w:r>
        <w:t>4th ITEA Con</w:t>
      </w:r>
      <w:r>
        <w:t>gress, 19-21 December</w:t>
      </w:r>
    </w:p>
    <w:p w14:paraId="23B80B21" w14:textId="77777777" w:rsidR="000105E6" w:rsidRDefault="000105E6">
      <w:pPr>
        <w:spacing w:line="276" w:lineRule="auto"/>
      </w:pPr>
    </w:p>
    <w:p w14:paraId="668FAE34" w14:textId="77777777" w:rsidR="000105E6" w:rsidRDefault="000105E6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color w:val="000000"/>
        </w:rPr>
      </w:pPr>
    </w:p>
    <w:p w14:paraId="311AEA17" w14:textId="77777777" w:rsidR="000105E6" w:rsidRDefault="000105E6">
      <w:pPr>
        <w:spacing w:line="276" w:lineRule="auto"/>
      </w:pPr>
    </w:p>
    <w:p w14:paraId="70934F17" w14:textId="77777777" w:rsidR="000105E6" w:rsidRDefault="000105E6">
      <w:pPr>
        <w:spacing w:line="276" w:lineRule="auto"/>
        <w:rPr>
          <w:b/>
        </w:rPr>
      </w:pPr>
    </w:p>
    <w:sectPr w:rsidR="000105E6">
      <w:type w:val="continuous"/>
      <w:pgSz w:w="11906" w:h="16838"/>
      <w:pgMar w:top="1079" w:right="746" w:bottom="89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E6"/>
    <w:rsid w:val="000105E6"/>
    <w:rsid w:val="005E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D2D2F7"/>
  <w15:docId w15:val="{6E473E70-CD3C-834D-BD7F-A130DF17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2FIfzjiU4ik9GSAIT0YrWZVN8w==">AMUW2mUzgNf0dBOJLVjVm6ckPPKvgAYtKPrhCsK7a6wzw3DEvHUt78xg1s2iN2qxNHVJjWlrn25qdOK8XM4D3xk5GsxB/7L1sfC0D2fr0HKCSGIybkMzVLSBOwYbDy2uSiDEuug9oDwohxul+a6tfVkzqGTtx13VKg==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2020-09-06T19:47:00Z</dcterms:created>
  <dcterms:modified xsi:type="dcterms:W3CDTF">2021-04-12T07:33:00Z</dcterms:modified>
</cp:coreProperties>
</file>